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7035" w14:textId="77777777" w:rsidR="00AB3A3C" w:rsidRPr="00B161C7" w:rsidRDefault="00AB3A3C" w:rsidP="00AB3A3C">
      <w:pPr>
        <w:spacing w:after="160" w:line="259" w:lineRule="auto"/>
        <w:rPr>
          <w:rFonts w:ascii="Calibri" w:eastAsia="Calibri" w:hAnsi="Calibri" w:cs="Arial"/>
          <w:b/>
        </w:rPr>
      </w:pPr>
      <w:r w:rsidRPr="00B161C7">
        <w:rPr>
          <w:rFonts w:ascii="Calibri" w:eastAsia="Calibri" w:hAnsi="Calibri" w:cs="Arial"/>
          <w:b/>
        </w:rPr>
        <w:t xml:space="preserve">Online supplementary file 5: Narrative synthesis of CPG recommendations </w:t>
      </w:r>
    </w:p>
    <w:p w14:paraId="1934776D" w14:textId="77777777"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This table is a synthesis of MSK pain CPG recommendations. A common consensus statement was identified when recommendations were consistent across CPGs and strongly endorsed or not endorsed i.e. the majority of CPGs included “should do” or “do not do” recommendations.  </w:t>
      </w:r>
    </w:p>
    <w:p w14:paraId="0CD63FBB" w14:textId="77777777"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“Should do” recommendations were defined as those that should generally be applied in all circumstances unless there is a rationale not to. These were usually based on a strong evidence e.g. a high level of evidence based on a number of high quality studies reporting a clinically relevant positive effects, with benefits that outweigh risks. However sometimes “should do” recommendations were based on the opinion of expert CPG development group members when there is a strong belief that the recommendation should be applied or its implementation was self-evident. CPGs terminology consistent with a “should do” recommendation includes “strong recommendation” e.g. </w:t>
      </w:r>
      <w:r w:rsidRPr="005038FB">
        <w:rPr>
          <w:rFonts w:ascii="Calibri" w:eastAsia="Calibri" w:hAnsi="Calibri" w:cs="Arial"/>
          <w:noProof/>
          <w:vertAlign w:val="superscript"/>
        </w:rPr>
        <w:t>91</w:t>
      </w:r>
      <w:r w:rsidRPr="00B161C7">
        <w:rPr>
          <w:rFonts w:ascii="Calibri" w:eastAsia="Calibri" w:hAnsi="Calibri" w:cs="Arial"/>
        </w:rPr>
        <w:t xml:space="preserve">, “offer” e.g. </w:t>
      </w:r>
      <w:r w:rsidRPr="005038FB">
        <w:rPr>
          <w:rFonts w:ascii="Calibri" w:eastAsia="Calibri" w:hAnsi="Calibri" w:cs="Arial"/>
          <w:noProof/>
          <w:vertAlign w:val="superscript"/>
        </w:rPr>
        <w:t>34 35</w:t>
      </w:r>
      <w:r w:rsidRPr="00B161C7">
        <w:rPr>
          <w:rFonts w:ascii="Calibri" w:eastAsia="Calibri" w:hAnsi="Calibri" w:cs="Arial"/>
        </w:rPr>
        <w:t xml:space="preserve">, and “should” occur e.g. </w:t>
      </w:r>
      <w:r w:rsidRPr="005038FB">
        <w:rPr>
          <w:rFonts w:ascii="Calibri" w:eastAsia="Calibri" w:hAnsi="Calibri" w:cs="Arial"/>
          <w:noProof/>
          <w:vertAlign w:val="superscript"/>
        </w:rPr>
        <w:t>36 37</w:t>
      </w:r>
      <w:r w:rsidRPr="00B161C7">
        <w:rPr>
          <w:rFonts w:ascii="Calibri" w:eastAsia="Calibri" w:hAnsi="Calibri" w:cs="Arial"/>
        </w:rPr>
        <w:t>.</w:t>
      </w:r>
    </w:p>
    <w:p w14:paraId="1257A614" w14:textId="77777777"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 xml:space="preserve">A “do not do” recommendation is when there was no benefit and/or evidence that harms outweigh benefits. Two CPGs provide strong and weak “do not do” recommendations </w:t>
      </w:r>
      <w:r w:rsidRPr="005038FB">
        <w:rPr>
          <w:rFonts w:ascii="Calibri" w:eastAsia="Calibri" w:hAnsi="Calibri" w:cs="Arial"/>
          <w:noProof/>
          <w:vertAlign w:val="superscript"/>
        </w:rPr>
        <w:t>38 40</w:t>
      </w:r>
      <w:r w:rsidRPr="00B161C7">
        <w:rPr>
          <w:rFonts w:ascii="Calibri" w:eastAsia="Calibri" w:hAnsi="Calibri" w:cs="Arial"/>
        </w:rPr>
        <w:t xml:space="preserve">. For the purposes of our review we combined weak and strong “do not do” recommendations. Terminology used in CPGs included “do not offer” e.g. </w:t>
      </w:r>
      <w:r w:rsidRPr="005038FB">
        <w:rPr>
          <w:rFonts w:ascii="Calibri" w:eastAsia="Calibri" w:hAnsi="Calibri" w:cs="Arial"/>
          <w:noProof/>
          <w:vertAlign w:val="superscript"/>
        </w:rPr>
        <w:t>34 38</w:t>
      </w:r>
      <w:r w:rsidRPr="00B161C7">
        <w:rPr>
          <w:rFonts w:ascii="Calibri" w:eastAsia="Calibri" w:hAnsi="Calibri" w:cs="Arial"/>
        </w:rPr>
        <w:t xml:space="preserve">, “should refrain from” </w:t>
      </w:r>
      <w:r w:rsidRPr="005038FB">
        <w:rPr>
          <w:rFonts w:ascii="Calibri" w:eastAsia="Calibri" w:hAnsi="Calibri" w:cs="Arial"/>
          <w:noProof/>
          <w:vertAlign w:val="superscript"/>
        </w:rPr>
        <w:t>41</w:t>
      </w:r>
      <w:r w:rsidRPr="00B161C7">
        <w:rPr>
          <w:rFonts w:ascii="Calibri" w:eastAsia="Calibri" w:hAnsi="Calibri" w:cs="Arial"/>
        </w:rPr>
        <w:t xml:space="preserve">, “do not routinely offer” </w:t>
      </w:r>
      <w:r w:rsidRPr="005038FB">
        <w:rPr>
          <w:rFonts w:ascii="Calibri" w:eastAsia="Calibri" w:hAnsi="Calibri" w:cs="Arial"/>
          <w:noProof/>
          <w:vertAlign w:val="superscript"/>
        </w:rPr>
        <w:t>38</w:t>
      </w:r>
      <w:r w:rsidRPr="00B161C7">
        <w:rPr>
          <w:rFonts w:ascii="Calibri" w:eastAsia="Calibri" w:hAnsi="Calibri" w:cs="Arial"/>
        </w:rPr>
        <w:t xml:space="preserve">, “not appropriate” </w:t>
      </w:r>
      <w:r w:rsidRPr="005038FB">
        <w:rPr>
          <w:rFonts w:ascii="Calibri" w:eastAsia="Calibri" w:hAnsi="Calibri" w:cs="Arial"/>
          <w:noProof/>
          <w:vertAlign w:val="superscript"/>
        </w:rPr>
        <w:t>42</w:t>
      </w:r>
      <w:r w:rsidRPr="00B161C7">
        <w:rPr>
          <w:rFonts w:ascii="Calibri" w:eastAsia="Calibri" w:hAnsi="Calibri" w:cs="Arial"/>
        </w:rPr>
        <w:t xml:space="preserve"> and “should not” </w:t>
      </w:r>
      <w:r w:rsidRPr="005038FB">
        <w:rPr>
          <w:rFonts w:ascii="Calibri" w:eastAsia="Calibri" w:hAnsi="Calibri" w:cs="Arial"/>
          <w:noProof/>
          <w:vertAlign w:val="superscript"/>
        </w:rPr>
        <w:t>41</w:t>
      </w:r>
      <w:r w:rsidRPr="00B161C7">
        <w:rPr>
          <w:rFonts w:ascii="Calibri" w:eastAsia="Calibri" w:hAnsi="Calibri" w:cs="Arial"/>
        </w:rPr>
        <w:t>.</w:t>
      </w:r>
    </w:p>
    <w:p w14:paraId="478B0922" w14:textId="77777777" w:rsidR="00AB3A3C" w:rsidRPr="00B161C7" w:rsidRDefault="00AB3A3C" w:rsidP="00AB3A3C">
      <w:pPr>
        <w:spacing w:after="160" w:line="259" w:lineRule="auto"/>
        <w:rPr>
          <w:rFonts w:ascii="Calibri" w:eastAsia="Calibri" w:hAnsi="Calibri" w:cs="Arial"/>
        </w:rPr>
      </w:pPr>
      <w:r w:rsidRPr="00B161C7">
        <w:rPr>
          <w:rFonts w:ascii="Calibri" w:eastAsia="Calibri" w:hAnsi="Calibri" w:cs="Arial"/>
        </w:rPr>
        <w:t>Consensus statements were not developed when recommendations were weaker i.e. predominantly “could do” or “uncertain” (see Table 1), or there were substantial conflicting recommendations in different CPGs. Where it was possible we identified common consensus recommendations across all MSK pain conditions. We also identified specific consensus recommendations for single MSK pain conditions.</w:t>
      </w:r>
    </w:p>
    <w:tbl>
      <w:tblPr>
        <w:tblStyle w:val="TableGrid1"/>
        <w:tblW w:w="5000" w:type="pct"/>
        <w:tblLook w:val="04A0" w:firstRow="1" w:lastRow="0" w:firstColumn="1" w:lastColumn="0" w:noHBand="0" w:noVBand="1"/>
      </w:tblPr>
      <w:tblGrid>
        <w:gridCol w:w="2263"/>
        <w:gridCol w:w="11685"/>
      </w:tblGrid>
      <w:tr w:rsidR="00AB3A3C" w:rsidRPr="00B161C7" w14:paraId="4A75C605" w14:textId="77777777" w:rsidTr="00D35636">
        <w:tc>
          <w:tcPr>
            <w:tcW w:w="811" w:type="pct"/>
            <w:shd w:val="clear" w:color="auto" w:fill="D9D9D9"/>
          </w:tcPr>
          <w:p w14:paraId="3BEA3C36" w14:textId="77777777"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 xml:space="preserve">Management Principles </w:t>
            </w:r>
          </w:p>
        </w:tc>
        <w:tc>
          <w:tcPr>
            <w:tcW w:w="4189" w:type="pct"/>
            <w:shd w:val="clear" w:color="auto" w:fill="D9D9D9"/>
          </w:tcPr>
          <w:p w14:paraId="2414BBCF" w14:textId="77777777"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 xml:space="preserve">Narrative Summary </w:t>
            </w:r>
          </w:p>
        </w:tc>
      </w:tr>
      <w:tr w:rsidR="00AB3A3C" w:rsidRPr="00B161C7" w14:paraId="166CC063" w14:textId="77777777" w:rsidTr="00D35636">
        <w:tc>
          <w:tcPr>
            <w:tcW w:w="811" w:type="pct"/>
          </w:tcPr>
          <w:p w14:paraId="233A952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Patient–centred care</w:t>
            </w:r>
          </w:p>
          <w:p w14:paraId="1978726D" w14:textId="77777777" w:rsidR="00AB3A3C" w:rsidRPr="00B161C7" w:rsidRDefault="00AB3A3C" w:rsidP="00D35636">
            <w:pPr>
              <w:spacing w:after="0" w:line="240" w:lineRule="auto"/>
              <w:rPr>
                <w:rFonts w:ascii="Calibri" w:eastAsia="Calibri" w:hAnsi="Calibri" w:cs="Arial"/>
                <w:sz w:val="20"/>
                <w:szCs w:val="20"/>
              </w:rPr>
            </w:pPr>
          </w:p>
        </w:tc>
        <w:tc>
          <w:tcPr>
            <w:tcW w:w="4189" w:type="pct"/>
          </w:tcPr>
          <w:p w14:paraId="3CCA8C1A"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CPGs, from each of the MSK pain conditions, discussed factors consistent with patient-centred approaches to care. In nearly all CPGs patient centred care was discussed in the introduction, such as incorporated into introductory statements prefacing the recommendations, or as a principle underlying the CPG.  Four CPGs included one or more aspects of a patient centred approach to care within their recommendations </w:t>
            </w:r>
            <w:r w:rsidRPr="005038FB">
              <w:rPr>
                <w:rFonts w:ascii="Calibri" w:eastAsia="Calibri" w:hAnsi="Calibri" w:cs="Arial"/>
                <w:noProof/>
                <w:sz w:val="20"/>
                <w:szCs w:val="20"/>
                <w:vertAlign w:val="superscript"/>
              </w:rPr>
              <w:t>33 36 41 45</w:t>
            </w:r>
            <w:r w:rsidRPr="00B161C7">
              <w:rPr>
                <w:rFonts w:ascii="Calibri" w:eastAsia="Calibri" w:hAnsi="Calibri" w:cs="Arial"/>
                <w:sz w:val="20"/>
                <w:szCs w:val="20"/>
              </w:rPr>
              <w:t xml:space="preserve"> for example “Clinicians should use a shared decision making process with the injured worker to develop a management plan”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Patient centre care included providing individualised care, appropriate communication, shared decision making, or explicitly described as “patient centred care”. </w:t>
            </w:r>
          </w:p>
          <w:p w14:paraId="416D8661" w14:textId="77777777" w:rsidR="00AB3A3C" w:rsidRPr="00B161C7" w:rsidRDefault="00AB3A3C" w:rsidP="00D35636">
            <w:pPr>
              <w:spacing w:after="0" w:line="240" w:lineRule="auto"/>
              <w:rPr>
                <w:rFonts w:ascii="Calibri" w:eastAsia="Calibri" w:hAnsi="Calibri" w:cs="Arial"/>
                <w:sz w:val="20"/>
                <w:szCs w:val="20"/>
              </w:rPr>
            </w:pPr>
          </w:p>
          <w:p w14:paraId="21C91547"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Patient centred care most commonly related to providing individualised care that considered the context of the patient </w:t>
            </w:r>
            <w:r w:rsidRPr="005038FB">
              <w:rPr>
                <w:rFonts w:ascii="Calibri" w:eastAsia="Calibri" w:hAnsi="Calibri" w:cs="Arial"/>
                <w:noProof/>
                <w:sz w:val="20"/>
                <w:szCs w:val="20"/>
                <w:vertAlign w:val="superscript"/>
              </w:rPr>
              <w:t>33 35-42 45</w:t>
            </w:r>
            <w:r w:rsidRPr="00B161C7">
              <w:rPr>
                <w:rFonts w:ascii="Calibri" w:eastAsia="Calibri" w:hAnsi="Calibri" w:cs="Arial"/>
                <w:sz w:val="20"/>
                <w:szCs w:val="20"/>
              </w:rPr>
              <w:t xml:space="preserve">. For example “Treatment of hip and/or knee OA should be individualised according to the wishes and expectations of the individual, localisation of OA, risk factors (such as age, sex, comorbidity, obesity and adverse mechanical factors), presence of inflammation, severity of structural change, level of pain and restriction of daily activities, societal participation and quality of life”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t>
            </w:r>
          </w:p>
          <w:p w14:paraId="3A41F6B2" w14:textId="77777777" w:rsidR="00AB3A3C" w:rsidRPr="00B161C7" w:rsidRDefault="00AB3A3C" w:rsidP="00D35636">
            <w:pPr>
              <w:spacing w:after="0" w:line="240" w:lineRule="auto"/>
              <w:rPr>
                <w:rFonts w:ascii="Calibri" w:eastAsia="Calibri" w:hAnsi="Calibri" w:cs="Arial"/>
                <w:sz w:val="20"/>
                <w:szCs w:val="20"/>
              </w:rPr>
            </w:pPr>
          </w:p>
          <w:p w14:paraId="0FA1E37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for OA </w:t>
            </w:r>
            <w:r w:rsidRPr="005038FB">
              <w:rPr>
                <w:rFonts w:ascii="Calibri" w:eastAsia="Calibri" w:hAnsi="Calibri" w:cs="Arial"/>
                <w:noProof/>
                <w:sz w:val="20"/>
                <w:szCs w:val="20"/>
                <w:vertAlign w:val="superscript"/>
              </w:rPr>
              <w:t>45 58</w:t>
            </w:r>
            <w:r w:rsidRPr="00B161C7">
              <w:rPr>
                <w:rFonts w:ascii="Calibri" w:eastAsia="Calibri" w:hAnsi="Calibri" w:cs="Arial"/>
                <w:sz w:val="20"/>
                <w:szCs w:val="20"/>
              </w:rPr>
              <w:t xml:space="preserve">, one for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and one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discussed the importance of effective patient-provider communication. The CPG for rotator cuff disorders, developed in Australia, described how communication must consider cultural and </w:t>
            </w:r>
            <w:r w:rsidRPr="00B161C7">
              <w:rPr>
                <w:rFonts w:ascii="Calibri" w:eastAsia="Calibri" w:hAnsi="Calibri" w:cs="Arial"/>
                <w:sz w:val="20"/>
                <w:szCs w:val="20"/>
              </w:rPr>
              <w:lastRenderedPageBreak/>
              <w:t xml:space="preserve">language diversity “to ensure effective and culturally appropriate communication with patients”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The NICE CPG focussed on “patient centred approach to communication” and the importance to shared goal setting and developing the therapeutic relationship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14:paraId="509FBC58" w14:textId="77777777" w:rsidR="00AB3A3C" w:rsidRPr="00B161C7" w:rsidRDefault="00AB3A3C" w:rsidP="00D35636">
            <w:pPr>
              <w:spacing w:after="0" w:line="240" w:lineRule="auto"/>
              <w:rPr>
                <w:rFonts w:ascii="Calibri" w:eastAsia="Calibri" w:hAnsi="Calibri" w:cs="Arial"/>
                <w:sz w:val="20"/>
                <w:szCs w:val="20"/>
              </w:rPr>
            </w:pPr>
          </w:p>
          <w:p w14:paraId="1B0968B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discussed shared decision making </w:t>
            </w:r>
            <w:r w:rsidRPr="005038FB">
              <w:rPr>
                <w:rFonts w:ascii="Calibri" w:eastAsia="Calibri" w:hAnsi="Calibri" w:cs="Arial"/>
                <w:noProof/>
                <w:sz w:val="20"/>
                <w:szCs w:val="20"/>
                <w:vertAlign w:val="superscript"/>
              </w:rPr>
              <w:t>37 41 45</w:t>
            </w:r>
            <w:r w:rsidRPr="00B161C7">
              <w:rPr>
                <w:rFonts w:ascii="Calibri" w:eastAsia="Calibri" w:hAnsi="Calibri" w:cs="Arial"/>
                <w:sz w:val="20"/>
                <w:szCs w:val="20"/>
              </w:rPr>
              <w:t xml:space="preserve">, for example “Clinicians should use a shared decision making process with the injured worker to develop a management plan”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Two CPGs explicitly discussed incorporating the principles of patient centred care </w:t>
            </w:r>
            <w:r w:rsidRPr="005038FB">
              <w:rPr>
                <w:rFonts w:ascii="Calibri" w:eastAsia="Calibri" w:hAnsi="Calibri" w:cs="Arial"/>
                <w:noProof/>
                <w:sz w:val="20"/>
                <w:szCs w:val="20"/>
                <w:vertAlign w:val="superscript"/>
              </w:rPr>
              <w:t>34 38</w:t>
            </w:r>
            <w:r w:rsidRPr="00B161C7">
              <w:rPr>
                <w:rFonts w:ascii="Calibri" w:eastAsia="Calibri" w:hAnsi="Calibri" w:cs="Arial"/>
                <w:sz w:val="20"/>
                <w:szCs w:val="20"/>
              </w:rPr>
              <w:t>.</w:t>
            </w:r>
          </w:p>
          <w:p w14:paraId="53021748" w14:textId="77777777" w:rsidR="00AB3A3C" w:rsidRPr="00B161C7" w:rsidRDefault="00AB3A3C" w:rsidP="00D35636">
            <w:pPr>
              <w:spacing w:after="0" w:line="240" w:lineRule="auto"/>
              <w:rPr>
                <w:rFonts w:ascii="Calibri" w:eastAsia="Calibri" w:hAnsi="Calibri" w:cs="Arial"/>
                <w:sz w:val="20"/>
                <w:szCs w:val="20"/>
              </w:rPr>
            </w:pPr>
          </w:p>
          <w:p w14:paraId="1243FBDA" w14:textId="77777777" w:rsidR="00AB3A3C" w:rsidRPr="00B161C7" w:rsidRDefault="00AB3A3C" w:rsidP="00D35636">
            <w:pPr>
              <w:spacing w:after="0" w:line="240" w:lineRule="auto"/>
              <w:rPr>
                <w:rFonts w:ascii="Calibri" w:eastAsia="Calibri" w:hAnsi="Calibri" w:cs="Arial"/>
                <w:sz w:val="20"/>
                <w:szCs w:val="20"/>
              </w:rPr>
            </w:pPr>
          </w:p>
          <w:p w14:paraId="552193BD"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042DA6AF" w14:textId="77777777" w:rsidR="00AB3A3C" w:rsidRPr="00B161C7" w:rsidRDefault="00AB3A3C" w:rsidP="00AB3A3C">
            <w:pPr>
              <w:numPr>
                <w:ilvl w:val="0"/>
                <w:numId w:val="1"/>
              </w:numPr>
              <w:spacing w:after="0" w:line="240" w:lineRule="auto"/>
              <w:contextualSpacing/>
              <w:rPr>
                <w:rFonts w:ascii="Calibri" w:eastAsia="Calibri" w:hAnsi="Calibri" w:cs="Times New Roman"/>
                <w:sz w:val="20"/>
                <w:szCs w:val="20"/>
                <w:highlight w:val="yellow"/>
              </w:rPr>
            </w:pPr>
            <w:r w:rsidRPr="00B161C7">
              <w:rPr>
                <w:rFonts w:ascii="Calibri" w:eastAsia="Calibri" w:hAnsi="Calibri" w:cs="Times New Roman"/>
                <w:sz w:val="20"/>
                <w:szCs w:val="20"/>
                <w:highlight w:val="yellow"/>
              </w:rPr>
              <w:t>Management should be patient centred. This includes care that is responsive to the individual context of the patient, employment of effective communication, and use of shared decision making processes.</w:t>
            </w:r>
          </w:p>
          <w:p w14:paraId="66604610" w14:textId="77777777" w:rsidR="00AB3A3C" w:rsidRPr="00B161C7" w:rsidRDefault="00AB3A3C" w:rsidP="00D35636">
            <w:pPr>
              <w:spacing w:after="0" w:line="240" w:lineRule="auto"/>
              <w:ind w:left="360"/>
              <w:contextualSpacing/>
              <w:rPr>
                <w:rFonts w:ascii="Calibri" w:eastAsia="Calibri" w:hAnsi="Calibri" w:cs="Arial"/>
                <w:sz w:val="20"/>
                <w:szCs w:val="20"/>
                <w:u w:val="single"/>
              </w:rPr>
            </w:pPr>
          </w:p>
        </w:tc>
      </w:tr>
      <w:tr w:rsidR="00AB3A3C" w:rsidRPr="00B161C7" w14:paraId="5B226A8D" w14:textId="77777777" w:rsidTr="00D35636">
        <w:tc>
          <w:tcPr>
            <w:tcW w:w="811" w:type="pct"/>
            <w:shd w:val="clear" w:color="auto" w:fill="D9D9D9"/>
          </w:tcPr>
          <w:p w14:paraId="651D5102" w14:textId="77777777"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lastRenderedPageBreak/>
              <w:t xml:space="preserve">Assessment </w:t>
            </w:r>
          </w:p>
        </w:tc>
        <w:tc>
          <w:tcPr>
            <w:tcW w:w="4189" w:type="pct"/>
            <w:tcBorders>
              <w:bottom w:val="single" w:sz="4" w:space="0" w:color="auto"/>
            </w:tcBorders>
            <w:shd w:val="clear" w:color="auto" w:fill="D9D9D9"/>
          </w:tcPr>
          <w:p w14:paraId="30B998A9" w14:textId="77777777" w:rsidR="00AB3A3C" w:rsidRPr="00B161C7" w:rsidRDefault="00AB3A3C" w:rsidP="00D35636">
            <w:pPr>
              <w:spacing w:after="0" w:line="240" w:lineRule="auto"/>
              <w:rPr>
                <w:rFonts w:ascii="Calibri" w:eastAsia="Calibri" w:hAnsi="Calibri" w:cs="Arial"/>
                <w:b/>
                <w:sz w:val="20"/>
                <w:szCs w:val="20"/>
              </w:rPr>
            </w:pPr>
          </w:p>
        </w:tc>
      </w:tr>
      <w:tr w:rsidR="00AB3A3C" w:rsidRPr="00B161C7" w14:paraId="7C58F4DD" w14:textId="77777777" w:rsidTr="00D35636">
        <w:tc>
          <w:tcPr>
            <w:tcW w:w="811" w:type="pct"/>
          </w:tcPr>
          <w:p w14:paraId="525E974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Diagnosis: screen for serious pathology </w:t>
            </w:r>
          </w:p>
        </w:tc>
        <w:tc>
          <w:tcPr>
            <w:tcW w:w="4189" w:type="pct"/>
            <w:tcBorders>
              <w:bottom w:val="single" w:sz="4" w:space="0" w:color="auto"/>
            </w:tcBorders>
          </w:tcPr>
          <w:p w14:paraId="11DEB33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including three for LBP </w:t>
            </w:r>
            <w:r w:rsidRPr="005038FB">
              <w:rPr>
                <w:rFonts w:ascii="Calibri" w:eastAsia="Calibri" w:hAnsi="Calibri" w:cs="Arial"/>
                <w:noProof/>
                <w:sz w:val="20"/>
                <w:szCs w:val="20"/>
                <w:vertAlign w:val="superscript"/>
              </w:rPr>
              <w:t>35 37 38</w:t>
            </w:r>
            <w:r w:rsidRPr="00B161C7">
              <w:rPr>
                <w:rFonts w:ascii="Calibri" w:eastAsia="Calibri" w:hAnsi="Calibri" w:cs="Arial"/>
                <w:sz w:val="20"/>
                <w:szCs w:val="20"/>
              </w:rPr>
              <w:t xml:space="preserve">, two for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and single CPGs for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rotator cuff disorders Hopman, 2013 #1990} strongly recommended screening for serious or structural pathology/‘red flag’ conditions during initial assessment. Screening should include targeted questioning and physical assessment, with imaging and pathology tests in those where there is clinical suspicion. Examples of serious/‘red flag’ conditions included suspicion of infection, malignancy, fracture, inflammatory causes of LBP, severe and progressive neurological deficit including cauda equina syndrome, and serious conditions that masquerade as MSK pain e.g. aortic aneurysm. The NICE OA CPG identifies important differential diagnoses as gout, other inflammatory </w:t>
            </w:r>
            <w:proofErr w:type="spellStart"/>
            <w:r w:rsidRPr="00B161C7">
              <w:rPr>
                <w:rFonts w:ascii="Calibri" w:eastAsia="Calibri" w:hAnsi="Calibri" w:cs="Arial"/>
                <w:sz w:val="20"/>
                <w:szCs w:val="20"/>
              </w:rPr>
              <w:t>arthritides</w:t>
            </w:r>
            <w:proofErr w:type="spellEnd"/>
            <w:r w:rsidRPr="00B161C7">
              <w:rPr>
                <w:rFonts w:ascii="Calibri" w:eastAsia="Calibri" w:hAnsi="Calibri" w:cs="Arial"/>
                <w:sz w:val="20"/>
                <w:szCs w:val="20"/>
              </w:rPr>
              <w:t xml:space="preserve">, septic arthritis and malignancy (bone pain)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14:paraId="278E542C" w14:textId="77777777" w:rsidR="00AB3A3C" w:rsidRPr="00B161C7" w:rsidRDefault="00AB3A3C" w:rsidP="00D35636">
            <w:pPr>
              <w:spacing w:after="0" w:line="240" w:lineRule="auto"/>
              <w:rPr>
                <w:rFonts w:ascii="Calibri" w:eastAsia="Calibri" w:hAnsi="Calibri" w:cs="Arial"/>
                <w:sz w:val="20"/>
                <w:szCs w:val="20"/>
              </w:rPr>
            </w:pPr>
          </w:p>
          <w:p w14:paraId="1A3FD3E2"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1DB04BE9" w14:textId="77777777"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Practitioners should screen patients to identify those with a higher likelihood of serious pathology/red flag conditions.</w:t>
            </w:r>
          </w:p>
          <w:p w14:paraId="0F5CF613"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55519ACD" w14:textId="77777777" w:rsidTr="00D35636">
        <w:tc>
          <w:tcPr>
            <w:tcW w:w="811" w:type="pct"/>
          </w:tcPr>
          <w:p w14:paraId="7BB6CACD"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Diagnosis: Classification </w:t>
            </w:r>
          </w:p>
        </w:tc>
        <w:tc>
          <w:tcPr>
            <w:tcW w:w="4189" w:type="pct"/>
            <w:tcBorders>
              <w:top w:val="single" w:sz="4" w:space="0" w:color="auto"/>
            </w:tcBorders>
          </w:tcPr>
          <w:p w14:paraId="2E8F18E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neck pain CPGs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strongly recommended classifying neck pain associated disorders (NAD) and whiplash associated disorders (WAD) according to the classification of the 2000-2010 Bone and Joint Decade Task Force on Neck Pain and its Associated Disorders; as grade I, II, III or IV </w:t>
            </w:r>
            <w:r w:rsidRPr="005038FB">
              <w:rPr>
                <w:rFonts w:ascii="Calibri" w:eastAsia="Calibri" w:hAnsi="Calibri" w:cs="Arial"/>
                <w:noProof/>
                <w:sz w:val="20"/>
                <w:szCs w:val="20"/>
                <w:vertAlign w:val="superscript"/>
              </w:rPr>
              <w:t>92</w:t>
            </w:r>
            <w:r w:rsidRPr="00B161C7">
              <w:rPr>
                <w:rFonts w:ascii="Calibri" w:eastAsia="Calibri" w:hAnsi="Calibri" w:cs="Arial"/>
                <w:sz w:val="20"/>
                <w:szCs w:val="20"/>
              </w:rPr>
              <w:t xml:space="preserve">. </w:t>
            </w:r>
          </w:p>
          <w:p w14:paraId="42BA33B3" w14:textId="77777777" w:rsidR="00AB3A3C" w:rsidRPr="00B161C7" w:rsidRDefault="00AB3A3C" w:rsidP="00D35636">
            <w:pPr>
              <w:spacing w:after="0" w:line="240" w:lineRule="auto"/>
              <w:rPr>
                <w:rFonts w:ascii="Calibri" w:eastAsia="Calibri" w:hAnsi="Calibri" w:cs="Arial"/>
                <w:sz w:val="20"/>
                <w:szCs w:val="20"/>
              </w:rPr>
            </w:pPr>
          </w:p>
          <w:p w14:paraId="7C5E2A32"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suggested classifying LBP according to severity (mild, moderate, severe) and/or duration (acute, subacute, chronic, recurrent)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In contrast the NICE LBP CPG has “moved away from the traditional duration-based classification of low back pain (acute, subacute and chronic) and have considered low back pain to be a continuum where risk of poor outcome at any time point is almost certainly more important than the duration of symptoms” p23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NICE and the Belgian CPG recommended risk stratification of LBP with or without sciatica to inform the type and intensity of management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Both of these CPGs suggested use of the </w:t>
            </w:r>
            <w:proofErr w:type="spellStart"/>
            <w:r w:rsidRPr="00B161C7">
              <w:rPr>
                <w:rFonts w:ascii="Calibri" w:eastAsia="Calibri" w:hAnsi="Calibri" w:cs="Arial"/>
                <w:sz w:val="20"/>
                <w:szCs w:val="20"/>
              </w:rPr>
              <w:t>STarTback</w:t>
            </w:r>
            <w:proofErr w:type="spellEnd"/>
            <w:r w:rsidRPr="00B161C7">
              <w:rPr>
                <w:rFonts w:ascii="Calibri" w:eastAsia="Calibri" w:hAnsi="Calibri" w:cs="Arial"/>
                <w:sz w:val="20"/>
                <w:szCs w:val="20"/>
              </w:rPr>
              <w:t xml:space="preserve"> tool, and the Belgian CPG also suggests the short version Orebro Musculoskeletal Pain Screening Questionnaire. The Belgian CPG recommended risk stratification at 2 weeks post onset and not within the first 48 hours of pain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Although the Danish CPG made no recommendations for classifying LBP, it recommended against offering targeted treatments to pre-specified subgroups based on modifiable physical or psychological prognostic factors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This included treatment based on clinical prediction rules. </w:t>
            </w:r>
          </w:p>
          <w:p w14:paraId="4385CE01" w14:textId="77777777" w:rsidR="00AB3A3C" w:rsidRPr="00B161C7" w:rsidRDefault="00AB3A3C" w:rsidP="00D35636">
            <w:pPr>
              <w:spacing w:after="0" w:line="240" w:lineRule="auto"/>
              <w:rPr>
                <w:rFonts w:ascii="Calibri" w:eastAsia="Calibri" w:hAnsi="Calibri" w:cs="Arial"/>
                <w:sz w:val="20"/>
                <w:szCs w:val="20"/>
              </w:rPr>
            </w:pPr>
          </w:p>
          <w:p w14:paraId="7F3CD05B"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14:paraId="5B1224A6" w14:textId="77777777"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Neck pain disorders should be classified as grade I-IV.</w:t>
            </w:r>
            <w:r w:rsidRPr="00B161C7">
              <w:rPr>
                <w:rFonts w:ascii="Calibri" w:eastAsia="Calibri" w:hAnsi="Calibri" w:cs="Arial"/>
                <w:sz w:val="20"/>
                <w:szCs w:val="20"/>
              </w:rPr>
              <w:t xml:space="preserve"> </w:t>
            </w:r>
          </w:p>
          <w:p w14:paraId="6214DC3A"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79893409" w14:textId="77777777" w:rsidTr="00D35636">
        <w:tc>
          <w:tcPr>
            <w:tcW w:w="811" w:type="pct"/>
          </w:tcPr>
          <w:p w14:paraId="36AC7C5F"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Psychosocial factors </w:t>
            </w:r>
          </w:p>
        </w:tc>
        <w:tc>
          <w:tcPr>
            <w:tcW w:w="4189" w:type="pct"/>
          </w:tcPr>
          <w:p w14:paraId="122C1072"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Nine CPGs strongly recommended assessing psychosocial factors, including four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two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two OA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one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CPGs. No CPGS recommended against assessing psychosocial factors. The two CPGs that did not address the assessment of psychosocial factors only made recommendations related to treatment, not assessment </w:t>
            </w:r>
            <w:r w:rsidRPr="005038FB">
              <w:rPr>
                <w:rFonts w:ascii="Calibri" w:eastAsia="Calibri" w:hAnsi="Calibri" w:cs="Arial"/>
                <w:noProof/>
                <w:sz w:val="20"/>
                <w:szCs w:val="20"/>
                <w:vertAlign w:val="superscript"/>
              </w:rPr>
              <w:t>42 58</w:t>
            </w:r>
            <w:r w:rsidRPr="00B161C7">
              <w:rPr>
                <w:rFonts w:ascii="Calibri" w:eastAsia="Calibri" w:hAnsi="Calibri" w:cs="Arial"/>
                <w:sz w:val="20"/>
                <w:szCs w:val="20"/>
              </w:rPr>
              <w:t>.</w:t>
            </w:r>
          </w:p>
          <w:p w14:paraId="3F7FA747" w14:textId="77777777" w:rsidR="00AB3A3C" w:rsidRPr="00B161C7" w:rsidRDefault="00AB3A3C" w:rsidP="00D35636">
            <w:pPr>
              <w:spacing w:after="0" w:line="240" w:lineRule="auto"/>
              <w:rPr>
                <w:rFonts w:ascii="Calibri" w:eastAsia="Calibri" w:hAnsi="Calibri" w:cs="Arial"/>
                <w:sz w:val="20"/>
                <w:szCs w:val="20"/>
              </w:rPr>
            </w:pPr>
          </w:p>
          <w:p w14:paraId="1F411BA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Psychosocial factors described included “yellow flags”, mood and emotions (depression, anxiety), fear, </w:t>
            </w:r>
            <w:proofErr w:type="spellStart"/>
            <w:r w:rsidRPr="00B161C7">
              <w:rPr>
                <w:rFonts w:ascii="Calibri" w:eastAsia="Calibri" w:hAnsi="Calibri" w:cs="Arial"/>
                <w:sz w:val="20"/>
                <w:szCs w:val="20"/>
              </w:rPr>
              <w:t>kinesiophobia</w:t>
            </w:r>
            <w:proofErr w:type="spellEnd"/>
            <w:r w:rsidRPr="00B161C7">
              <w:rPr>
                <w:rFonts w:ascii="Calibri" w:eastAsia="Calibri" w:hAnsi="Calibri" w:cs="Arial"/>
                <w:sz w:val="20"/>
                <w:szCs w:val="20"/>
              </w:rPr>
              <w:t xml:space="preserve">, and recovery expectations. The LBP CPGs from NICE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Belgium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(which was based largely on the NICE LBP CPG) integrate psychosocial factors into the assessment of modifiable prognostic risk factors. They suggested utilising the </w:t>
            </w:r>
            <w:proofErr w:type="spellStart"/>
            <w:r w:rsidRPr="00B161C7">
              <w:rPr>
                <w:rFonts w:ascii="Calibri" w:eastAsia="Calibri" w:hAnsi="Calibri" w:cs="Arial"/>
                <w:sz w:val="20"/>
                <w:szCs w:val="20"/>
              </w:rPr>
              <w:t>STarT</w:t>
            </w:r>
            <w:proofErr w:type="spellEnd"/>
            <w:r w:rsidRPr="00B161C7">
              <w:rPr>
                <w:rFonts w:ascii="Calibri" w:eastAsia="Calibri" w:hAnsi="Calibri" w:cs="Arial"/>
                <w:sz w:val="20"/>
                <w:szCs w:val="20"/>
              </w:rPr>
              <w:t xml:space="preserve"> Back or Orebro Musculoskeletal Screening tools to identify prognostic risk factors, including psychosocial factors, to assist in patient risk stratification.</w:t>
            </w:r>
          </w:p>
          <w:p w14:paraId="1FCF56E6" w14:textId="77777777" w:rsidR="00AB3A3C" w:rsidRPr="00B161C7" w:rsidRDefault="00AB3A3C" w:rsidP="00D35636">
            <w:pPr>
              <w:spacing w:after="0" w:line="240" w:lineRule="auto"/>
              <w:rPr>
                <w:rFonts w:ascii="Calibri" w:eastAsia="Calibri" w:hAnsi="Calibri" w:cs="Arial"/>
                <w:sz w:val="20"/>
                <w:szCs w:val="20"/>
              </w:rPr>
            </w:pPr>
          </w:p>
          <w:p w14:paraId="70457EFB"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352563B0" w14:textId="77777777" w:rsidR="00AB3A3C" w:rsidRPr="00B161C7" w:rsidRDefault="00AB3A3C" w:rsidP="00AB3A3C">
            <w:pPr>
              <w:numPr>
                <w:ilvl w:val="0"/>
                <w:numId w:val="1"/>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Psychosocial factors should be assessed</w:t>
            </w:r>
            <w:r w:rsidRPr="00B161C7">
              <w:rPr>
                <w:rFonts w:ascii="Calibri" w:eastAsia="Calibri" w:hAnsi="Calibri" w:cs="Arial"/>
                <w:sz w:val="20"/>
                <w:szCs w:val="20"/>
              </w:rPr>
              <w:t xml:space="preserve">. </w:t>
            </w:r>
          </w:p>
          <w:p w14:paraId="766E1E31"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54B0C233" w14:textId="77777777" w:rsidTr="00D35636">
        <w:tc>
          <w:tcPr>
            <w:tcW w:w="811" w:type="pct"/>
          </w:tcPr>
          <w:p w14:paraId="1F9E2F6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Diagnostic work up: Radiological imaging </w:t>
            </w:r>
          </w:p>
        </w:tc>
        <w:tc>
          <w:tcPr>
            <w:tcW w:w="4189" w:type="pct"/>
          </w:tcPr>
          <w:p w14:paraId="128CB50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Six CPGs, including four for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one for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one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strongly discouraged routine use of radiological imaging. In the case of LBP, imaging is discouraged initially unless serious pathology is suspected. Radiological imaging can be considered for LBP with or without leg pain if it is likely to “change management”, for example epidural or spinal surgery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or if there has been a limited response to conservative care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The chiropractic CPG also recommended prudent use of imaging including post-trauma or in the case of worsening symptomatology, although differs from other CPGs by considering imaging if there is “suspicion of an underlying anatomical anomaly, such as spondylolisthesis, moderate to severe spondylosis”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14:paraId="3B09424E" w14:textId="77777777" w:rsidR="00AB3A3C" w:rsidRPr="00B161C7" w:rsidRDefault="00AB3A3C" w:rsidP="00D35636">
            <w:pPr>
              <w:spacing w:after="0" w:line="240" w:lineRule="auto"/>
              <w:rPr>
                <w:rFonts w:ascii="Calibri" w:eastAsia="Calibri" w:hAnsi="Calibri" w:cs="Arial"/>
                <w:sz w:val="20"/>
                <w:szCs w:val="20"/>
              </w:rPr>
            </w:pPr>
          </w:p>
          <w:p w14:paraId="6D417ABB"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CPG encouraged clinical diagnosis of OA without imaging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rotator cuff CPG recommended against imaging in the first 4-6 weeks in suspected rotator cuff syndrome, but suggested MRI and plain film x-ray if there is significant continuing limitation and pain and no response to an active treatment program after this time period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14:paraId="040E5452" w14:textId="77777777" w:rsidR="00AB3A3C" w:rsidRPr="00B161C7" w:rsidRDefault="00AB3A3C" w:rsidP="00D35636">
            <w:pPr>
              <w:spacing w:after="0" w:line="240" w:lineRule="auto"/>
              <w:rPr>
                <w:rFonts w:ascii="Calibri" w:eastAsia="Calibri" w:hAnsi="Calibri" w:cs="Arial"/>
                <w:sz w:val="20"/>
                <w:szCs w:val="20"/>
              </w:rPr>
            </w:pPr>
          </w:p>
          <w:p w14:paraId="34C56EFC"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153F7EEF" w14:textId="77777777" w:rsidR="00AB3A3C" w:rsidRPr="00B161C7" w:rsidRDefault="00AB3A3C" w:rsidP="00AB3A3C">
            <w:pPr>
              <w:numPr>
                <w:ilvl w:val="0"/>
                <w:numId w:val="1"/>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Radiological imaging is discouraged unless:</w:t>
            </w:r>
          </w:p>
          <w:p w14:paraId="3FF551F1" w14:textId="77777777"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serious pathology is suspected</w:t>
            </w:r>
          </w:p>
          <w:p w14:paraId="41557074" w14:textId="77777777"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there has been an unsatisfactory response to conservative care or unexplained progression of signs and symptoms or, </w:t>
            </w:r>
          </w:p>
          <w:p w14:paraId="05C7ED2F" w14:textId="77777777" w:rsidR="00AB3A3C" w:rsidRPr="00B161C7" w:rsidRDefault="00AB3A3C" w:rsidP="00AB3A3C">
            <w:pPr>
              <w:numPr>
                <w:ilvl w:val="0"/>
                <w:numId w:val="5"/>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it is likely to change management.</w:t>
            </w:r>
          </w:p>
          <w:p w14:paraId="61E2CBC9"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67F562DD" w14:textId="77777777" w:rsidTr="00D35636">
        <w:tc>
          <w:tcPr>
            <w:tcW w:w="811" w:type="pct"/>
          </w:tcPr>
          <w:p w14:paraId="1C16F2C0"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Physical Assessment/Examination</w:t>
            </w:r>
          </w:p>
        </w:tc>
        <w:tc>
          <w:tcPr>
            <w:tcW w:w="4189" w:type="pct"/>
          </w:tcPr>
          <w:p w14:paraId="376B698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described or recommended physical examination of MSK pain conditions. Two CPGs for OA recommended clinical examination including “mobility; strength; joint alignment; proprioception and posture”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Alongside clinical history, the NICE CPG described examination as the most important feature of diagnosing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Similarly a CPG for rotator cuff syndrome recommended physical assessment including “active and passive range of motion; resisted (isometric) strength testing; and evaluation of the cervical and thoracic spine (as indicated)”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14:paraId="2EBBEEE1" w14:textId="77777777" w:rsidR="00AB3A3C" w:rsidRPr="00B161C7" w:rsidRDefault="00AB3A3C" w:rsidP="00D35636">
            <w:pPr>
              <w:spacing w:after="0" w:line="240" w:lineRule="auto"/>
              <w:rPr>
                <w:rFonts w:ascii="Calibri" w:eastAsia="Calibri" w:hAnsi="Calibri" w:cs="Arial"/>
                <w:sz w:val="20"/>
                <w:szCs w:val="20"/>
              </w:rPr>
            </w:pPr>
          </w:p>
          <w:p w14:paraId="7AC8063A"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neck pain emphasises neurological screening in order to classify neck pain disorders into grades I-III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Similarly, LBP physical assessments emphasise testing of neurological function in order to differentiate radicular pain </w:t>
            </w:r>
            <w:r w:rsidRPr="005038FB">
              <w:rPr>
                <w:rFonts w:ascii="Calibri" w:eastAsia="Calibri" w:hAnsi="Calibri" w:cs="Arial"/>
                <w:noProof/>
                <w:sz w:val="20"/>
                <w:szCs w:val="20"/>
                <w:vertAlign w:val="superscript"/>
              </w:rPr>
              <w:t>37 38</w:t>
            </w:r>
            <w:r w:rsidRPr="00B161C7">
              <w:rPr>
                <w:rFonts w:ascii="Calibri" w:eastAsia="Calibri" w:hAnsi="Calibri" w:cs="Arial"/>
                <w:sz w:val="20"/>
                <w:szCs w:val="20"/>
              </w:rPr>
              <w:t xml:space="preserve">. The lack of empirical support for physical assessments for LBP versus patient expectations regarding examination were noted by NICE; “the repercussions of not performing an examination would lead to dissatisfaction and unwarranted demand for tests or further referrals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14:paraId="66A3CCC3" w14:textId="77777777" w:rsidR="00AB3A3C" w:rsidRPr="00B161C7" w:rsidRDefault="00AB3A3C" w:rsidP="00D35636">
            <w:pPr>
              <w:spacing w:after="0" w:line="240" w:lineRule="auto"/>
              <w:rPr>
                <w:rFonts w:ascii="Calibri" w:eastAsia="Calibri" w:hAnsi="Calibri" w:cs="Arial"/>
                <w:sz w:val="20"/>
                <w:szCs w:val="20"/>
              </w:rPr>
            </w:pPr>
          </w:p>
          <w:p w14:paraId="34F3520C"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759F5DD7" w14:textId="77777777" w:rsidR="00AB3A3C" w:rsidRPr="00B161C7" w:rsidRDefault="00AB3A3C" w:rsidP="00AB3A3C">
            <w:pPr>
              <w:numPr>
                <w:ilvl w:val="0"/>
                <w:numId w:val="1"/>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Undertake a physical examination, which could include neurological screening tests, assessment of mobility, and/or muscle strength.  </w:t>
            </w:r>
          </w:p>
          <w:p w14:paraId="7DDFE5E1" w14:textId="77777777" w:rsidR="00AB3A3C" w:rsidRPr="00B161C7" w:rsidRDefault="00AB3A3C" w:rsidP="00D35636">
            <w:pPr>
              <w:spacing w:after="0" w:line="240" w:lineRule="auto"/>
              <w:ind w:left="360"/>
              <w:contextualSpacing/>
              <w:rPr>
                <w:rFonts w:ascii="Calibri" w:eastAsia="Calibri" w:hAnsi="Calibri" w:cs="Arial"/>
                <w:sz w:val="20"/>
                <w:szCs w:val="20"/>
              </w:rPr>
            </w:pPr>
            <w:r w:rsidRPr="00B161C7">
              <w:rPr>
                <w:rFonts w:ascii="Calibri" w:eastAsia="Calibri" w:hAnsi="Calibri" w:cs="Arial"/>
                <w:sz w:val="20"/>
                <w:szCs w:val="20"/>
              </w:rPr>
              <w:t xml:space="preserve">  </w:t>
            </w:r>
          </w:p>
          <w:p w14:paraId="1182F4C8"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65191CF8" w14:textId="77777777" w:rsidTr="00D35636">
        <w:tc>
          <w:tcPr>
            <w:tcW w:w="811" w:type="pct"/>
          </w:tcPr>
          <w:p w14:paraId="4BDE99B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Evaluation/Re-evaluation and measurement </w:t>
            </w:r>
          </w:p>
        </w:tc>
        <w:tc>
          <w:tcPr>
            <w:tcW w:w="4189" w:type="pct"/>
          </w:tcPr>
          <w:p w14:paraId="35BAFA3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Five CPGs, including two for OA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one apiece for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NAD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and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provided ‘should do’ recommendations for re-evaluation and measurement of patient progress. The </w:t>
            </w:r>
            <w:proofErr w:type="spellStart"/>
            <w:r w:rsidRPr="00B161C7">
              <w:rPr>
                <w:rFonts w:ascii="Calibri" w:eastAsia="Calibri" w:hAnsi="Calibri" w:cs="Arial"/>
                <w:sz w:val="20"/>
                <w:szCs w:val="20"/>
              </w:rPr>
              <w:t>OPTIMa</w:t>
            </w:r>
            <w:proofErr w:type="spellEnd"/>
            <w:r w:rsidRPr="00B161C7">
              <w:rPr>
                <w:rFonts w:ascii="Calibri" w:eastAsia="Calibri" w:hAnsi="Calibri" w:cs="Arial"/>
                <w:sz w:val="20"/>
                <w:szCs w:val="20"/>
              </w:rPr>
              <w:t xml:space="preserve"> NAD CPG recommended using a seven-point self-rated patient recovery question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Other CPGs recommend evaluating pain intensity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functional capacity </w:t>
            </w:r>
            <w:r w:rsidRPr="005038FB">
              <w:rPr>
                <w:rFonts w:ascii="Calibri" w:eastAsia="Calibri" w:hAnsi="Calibri" w:cs="Arial"/>
                <w:noProof/>
                <w:sz w:val="20"/>
                <w:szCs w:val="20"/>
                <w:vertAlign w:val="superscript"/>
              </w:rPr>
              <w:t>37 41</w:t>
            </w:r>
            <w:r w:rsidRPr="00B161C7">
              <w:rPr>
                <w:rFonts w:ascii="Calibri" w:eastAsia="Calibri" w:hAnsi="Calibri" w:cs="Arial"/>
                <w:sz w:val="20"/>
                <w:szCs w:val="20"/>
              </w:rPr>
              <w:t xml:space="preserve">, quality of life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or “evaluation”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t>
            </w:r>
          </w:p>
          <w:p w14:paraId="611EAEF4" w14:textId="77777777" w:rsidR="00AB3A3C" w:rsidRPr="00B161C7" w:rsidRDefault="00AB3A3C" w:rsidP="00D35636">
            <w:pPr>
              <w:spacing w:after="0" w:line="240" w:lineRule="auto"/>
              <w:rPr>
                <w:rFonts w:ascii="Calibri" w:eastAsia="Calibri" w:hAnsi="Calibri" w:cs="Arial"/>
                <w:sz w:val="20"/>
                <w:szCs w:val="20"/>
              </w:rPr>
            </w:pPr>
          </w:p>
          <w:p w14:paraId="712ABAB4"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0F497318" w14:textId="77777777"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Patient progress should be evaluated including the use of outcome measures.</w:t>
            </w:r>
          </w:p>
          <w:p w14:paraId="0FD1222F" w14:textId="77777777" w:rsidR="00AB3A3C" w:rsidRPr="00B161C7" w:rsidRDefault="00AB3A3C" w:rsidP="00D35636">
            <w:pPr>
              <w:spacing w:after="0" w:line="240" w:lineRule="auto"/>
              <w:ind w:left="360"/>
              <w:contextualSpacing/>
              <w:rPr>
                <w:rFonts w:ascii="Calibri" w:eastAsia="Calibri" w:hAnsi="Calibri" w:cs="Arial"/>
                <w:sz w:val="20"/>
                <w:szCs w:val="20"/>
              </w:rPr>
            </w:pPr>
          </w:p>
        </w:tc>
      </w:tr>
      <w:tr w:rsidR="00AB3A3C" w:rsidRPr="00B161C7" w14:paraId="05A65A52" w14:textId="77777777" w:rsidTr="00D35636">
        <w:tc>
          <w:tcPr>
            <w:tcW w:w="811" w:type="pct"/>
            <w:shd w:val="clear" w:color="auto" w:fill="D9D9D9"/>
          </w:tcPr>
          <w:p w14:paraId="0F794344" w14:textId="77777777" w:rsidR="00AB3A3C" w:rsidRPr="00B161C7" w:rsidRDefault="00AB3A3C" w:rsidP="00D35636">
            <w:pPr>
              <w:spacing w:after="0" w:line="240" w:lineRule="auto"/>
              <w:rPr>
                <w:rFonts w:ascii="Calibri" w:eastAsia="Calibri" w:hAnsi="Calibri" w:cs="Arial"/>
                <w:b/>
                <w:sz w:val="20"/>
                <w:szCs w:val="20"/>
              </w:rPr>
            </w:pPr>
            <w:r w:rsidRPr="00B161C7">
              <w:rPr>
                <w:rFonts w:ascii="Calibri" w:eastAsia="Calibri" w:hAnsi="Calibri" w:cs="Arial"/>
                <w:b/>
                <w:sz w:val="20"/>
                <w:szCs w:val="20"/>
              </w:rPr>
              <w:t>Management</w:t>
            </w:r>
          </w:p>
        </w:tc>
        <w:tc>
          <w:tcPr>
            <w:tcW w:w="4189" w:type="pct"/>
            <w:shd w:val="clear" w:color="auto" w:fill="D9D9D9"/>
          </w:tcPr>
          <w:p w14:paraId="3A165421" w14:textId="77777777" w:rsidR="00AB3A3C" w:rsidRPr="00B161C7" w:rsidRDefault="00AB3A3C" w:rsidP="00D35636">
            <w:pPr>
              <w:spacing w:after="0" w:line="240" w:lineRule="auto"/>
              <w:rPr>
                <w:rFonts w:ascii="Calibri" w:eastAsia="Calibri" w:hAnsi="Calibri" w:cs="Arial"/>
                <w:b/>
                <w:sz w:val="20"/>
                <w:szCs w:val="20"/>
              </w:rPr>
            </w:pPr>
          </w:p>
        </w:tc>
      </w:tr>
      <w:tr w:rsidR="00AB3A3C" w:rsidRPr="00B161C7" w14:paraId="75188874" w14:textId="77777777" w:rsidTr="00D35636">
        <w:tc>
          <w:tcPr>
            <w:tcW w:w="811" w:type="pct"/>
          </w:tcPr>
          <w:p w14:paraId="59E3B79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Education/Information  </w:t>
            </w:r>
          </w:p>
        </w:tc>
        <w:tc>
          <w:tcPr>
            <w:tcW w:w="4189" w:type="pct"/>
          </w:tcPr>
          <w:p w14:paraId="1006A706"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Ten CPGs strongly recommended providing education or information either to </w:t>
            </w:r>
            <w:proofErr w:type="spellStart"/>
            <w:r w:rsidRPr="00B161C7">
              <w:rPr>
                <w:rFonts w:ascii="Calibri" w:eastAsia="Calibri" w:hAnsi="Calibri" w:cs="Arial"/>
                <w:sz w:val="20"/>
                <w:szCs w:val="20"/>
              </w:rPr>
              <w:t>i</w:t>
            </w:r>
            <w:proofErr w:type="spellEnd"/>
            <w:r w:rsidRPr="00B161C7">
              <w:rPr>
                <w:rFonts w:ascii="Calibri" w:eastAsia="Calibri" w:hAnsi="Calibri" w:cs="Arial"/>
                <w:sz w:val="20"/>
                <w:szCs w:val="20"/>
              </w:rPr>
              <w:t xml:space="preserve">) encourage self-management and/or, ii) inform patients about the condition or management (e.g. prognosis, psychosocial aspects). </w:t>
            </w:r>
          </w:p>
          <w:p w14:paraId="6A424720" w14:textId="77777777" w:rsidR="00AB3A3C" w:rsidRPr="00B161C7" w:rsidRDefault="00AB3A3C" w:rsidP="00D35636">
            <w:pPr>
              <w:spacing w:after="0" w:line="240" w:lineRule="auto"/>
              <w:rPr>
                <w:rFonts w:ascii="Calibri" w:eastAsia="Calibri" w:hAnsi="Calibri" w:cs="Arial"/>
                <w:sz w:val="20"/>
                <w:szCs w:val="20"/>
              </w:rPr>
            </w:pPr>
          </w:p>
          <w:p w14:paraId="0BAF8E70"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 recommendations for neck pain education to promote self-management included advising patients to maintain activity and movement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“postural advice” (which is not specified)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and continuation of prescribed medication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Recommendations for condition-related information included educating patients about the benign and self-limiting nature of neck pain associated disorders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The chiropractic oriented CPG for neck pain and associated disorders (NAD) and whiplash associated disorders (WAD) also recommended education in acute and subacute NAD and WAD, however not as a stand-alone strategy, rather as part of a multimodal care package including e.g. manual therapy and exercise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14:paraId="68F8232B" w14:textId="77777777" w:rsidR="00AB3A3C" w:rsidRPr="00B161C7" w:rsidRDefault="00AB3A3C" w:rsidP="00D35636">
            <w:pPr>
              <w:spacing w:after="0" w:line="240" w:lineRule="auto"/>
              <w:rPr>
                <w:rFonts w:ascii="Calibri" w:eastAsia="Calibri" w:hAnsi="Calibri" w:cs="Arial"/>
                <w:sz w:val="20"/>
                <w:szCs w:val="20"/>
              </w:rPr>
            </w:pPr>
          </w:p>
          <w:p w14:paraId="126A299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Providing education/information was integral to all OA CPGs including both self-management and condition related information. The EULAR and NICE CPGs recommended that education/information should be individualised and incorporated at all stages of management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Education should include the nature, causes, consequence and prognosis of OA and reinforced by written, audio-visual or peer groups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Weight loss education should be offered for people who are overweight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The OARSI CPG noted that group-based or telephone education sessions may be more feasible to implement in primary care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p>
          <w:p w14:paraId="0DC9B709" w14:textId="77777777" w:rsidR="00AB3A3C" w:rsidRPr="00B161C7" w:rsidRDefault="00AB3A3C" w:rsidP="00D35636">
            <w:pPr>
              <w:spacing w:after="0" w:line="240" w:lineRule="auto"/>
              <w:rPr>
                <w:rFonts w:ascii="Calibri" w:eastAsia="Calibri" w:hAnsi="Calibri" w:cs="Arial"/>
                <w:sz w:val="20"/>
                <w:szCs w:val="20"/>
              </w:rPr>
            </w:pPr>
          </w:p>
          <w:p w14:paraId="0E7F8474"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CPGs for LBP recommended education/information to address psychosocial issues (e.g. reduce fear and increase self-efficacy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encourage normal activity, and address participation in exercise. The NICE, Danish and Belgian CPGs emphasised education that is individualised to patient needs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w:t>
            </w:r>
          </w:p>
          <w:p w14:paraId="4D0901C0" w14:textId="77777777" w:rsidR="00AB3A3C" w:rsidRPr="00B161C7" w:rsidRDefault="00AB3A3C" w:rsidP="00D35636">
            <w:pPr>
              <w:spacing w:after="0" w:line="240" w:lineRule="auto"/>
              <w:rPr>
                <w:rFonts w:ascii="Calibri" w:eastAsia="Calibri" w:hAnsi="Calibri" w:cs="Arial"/>
                <w:sz w:val="20"/>
                <w:szCs w:val="20"/>
              </w:rPr>
            </w:pPr>
          </w:p>
          <w:p w14:paraId="6D94F1A6"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and the Belgian LBP CPG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specifically recommended educating patients about radiological imaging; its limitations and explaining to patients that imaging may not be indicated. The rotator cuff disorder CPG also recommended education on the risks and benefits of corticosteroid injection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14:paraId="0607516A" w14:textId="77777777" w:rsidR="00AB3A3C" w:rsidRPr="00B161C7" w:rsidRDefault="00AB3A3C" w:rsidP="00D35636">
            <w:pPr>
              <w:spacing w:after="0" w:line="240" w:lineRule="auto"/>
              <w:rPr>
                <w:rFonts w:ascii="Calibri" w:eastAsia="Calibri" w:hAnsi="Calibri" w:cs="Arial"/>
                <w:sz w:val="20"/>
                <w:szCs w:val="20"/>
              </w:rPr>
            </w:pPr>
          </w:p>
          <w:p w14:paraId="61CAF665"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425B64F2" w14:textId="77777777"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All patients should be provided with education/information about their condition and/or management options.</w:t>
            </w:r>
            <w:r w:rsidRPr="00B161C7">
              <w:rPr>
                <w:rFonts w:ascii="Calibri" w:eastAsia="Calibri" w:hAnsi="Calibri" w:cs="Arial"/>
                <w:sz w:val="20"/>
                <w:szCs w:val="20"/>
              </w:rPr>
              <w:t xml:space="preserve"> </w:t>
            </w:r>
          </w:p>
          <w:p w14:paraId="473C731A"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631BF09A" w14:textId="77777777" w:rsidTr="00D35636">
        <w:tc>
          <w:tcPr>
            <w:tcW w:w="811" w:type="pct"/>
          </w:tcPr>
          <w:p w14:paraId="4937CC7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Physical activity/exercise </w:t>
            </w:r>
          </w:p>
        </w:tc>
        <w:tc>
          <w:tcPr>
            <w:tcW w:w="4189" w:type="pct"/>
          </w:tcPr>
          <w:p w14:paraId="7CAAE017"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CPGs included recommendations relating to activity/exercise. The strength of recommendation, and types of recommended activity/exercise, varied between different MSK conditions. Physical activity/exercise included recommendations for general exercise/activity, specific exercise (for example for a body part), and supervised exercise. </w:t>
            </w:r>
          </w:p>
          <w:p w14:paraId="4263D8C7" w14:textId="77777777" w:rsidR="00AB3A3C" w:rsidRPr="00B161C7" w:rsidRDefault="00AB3A3C" w:rsidP="00D35636">
            <w:pPr>
              <w:spacing w:after="0" w:line="240" w:lineRule="auto"/>
              <w:rPr>
                <w:rFonts w:ascii="Calibri" w:eastAsia="Calibri" w:hAnsi="Calibri" w:cs="Arial"/>
                <w:sz w:val="20"/>
                <w:szCs w:val="20"/>
              </w:rPr>
            </w:pPr>
          </w:p>
          <w:p w14:paraId="0B801F0A"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General physical activity/exercise </w:t>
            </w:r>
          </w:p>
          <w:p w14:paraId="4D3386D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for OA </w:t>
            </w:r>
            <w:r w:rsidRPr="005038FB">
              <w:rPr>
                <w:rFonts w:ascii="Calibri" w:eastAsia="Calibri" w:hAnsi="Calibri" w:cs="Arial"/>
                <w:noProof/>
                <w:sz w:val="20"/>
                <w:szCs w:val="20"/>
                <w:vertAlign w:val="superscript"/>
              </w:rPr>
              <w:t>36 39 42 45</w:t>
            </w:r>
            <w:r w:rsidRPr="00B161C7">
              <w:rPr>
                <w:rFonts w:ascii="Calibri" w:eastAsia="Calibri" w:hAnsi="Calibri" w:cs="Arial"/>
                <w:sz w:val="20"/>
                <w:szCs w:val="20"/>
              </w:rPr>
              <w:t xml:space="preserve">, LBP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and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recommended physical activity including maintenance of activity/normal physical activity, aerobic exercises, ‘exercise’ and/or ‘general exercise’. For OA the strength of recommendation was strong. Two LBP CPGs recommended that all patients should receive advice about activity, such as continuing with normal activity </w:t>
            </w:r>
            <w:r w:rsidRPr="005038FB">
              <w:rPr>
                <w:rFonts w:ascii="Calibri" w:eastAsia="Calibri" w:hAnsi="Calibri" w:cs="Arial"/>
                <w:noProof/>
                <w:sz w:val="20"/>
                <w:szCs w:val="20"/>
                <w:vertAlign w:val="superscript"/>
              </w:rPr>
              <w:t>35 40</w:t>
            </w:r>
            <w:r w:rsidRPr="00B161C7">
              <w:rPr>
                <w:rFonts w:ascii="Calibri" w:eastAsia="Calibri" w:hAnsi="Calibri" w:cs="Arial"/>
                <w:sz w:val="20"/>
                <w:szCs w:val="20"/>
              </w:rPr>
              <w:t xml:space="preserve">. Two neck pain CPGs recommended advising patients to maintain activity and movement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whilst the chiropractic CPG recommended considering “general and/or specific exercise programs” as a possible adjunct to core manual therapy treatments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w:t>
            </w:r>
          </w:p>
          <w:p w14:paraId="4CC7E501" w14:textId="77777777" w:rsidR="00AB3A3C" w:rsidRPr="00B161C7" w:rsidRDefault="00AB3A3C" w:rsidP="00D35636">
            <w:pPr>
              <w:spacing w:after="0" w:line="240" w:lineRule="auto"/>
              <w:rPr>
                <w:rFonts w:ascii="Calibri" w:eastAsia="Calibri" w:hAnsi="Calibri" w:cs="Arial"/>
                <w:sz w:val="20"/>
                <w:szCs w:val="20"/>
              </w:rPr>
            </w:pPr>
          </w:p>
          <w:p w14:paraId="2BA9327A"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Specific exercise </w:t>
            </w:r>
          </w:p>
          <w:p w14:paraId="1502475E"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Again, OA CPGs strongly recommended specific exercises which was most commonly strengthening exercises </w:t>
            </w:r>
            <w:r w:rsidRPr="005038FB">
              <w:rPr>
                <w:rFonts w:ascii="Calibri" w:eastAsia="Calibri" w:hAnsi="Calibri" w:cs="Arial"/>
                <w:noProof/>
                <w:sz w:val="20"/>
                <w:szCs w:val="20"/>
                <w:vertAlign w:val="superscript"/>
              </w:rPr>
              <w:t>36 42 45 58</w:t>
            </w:r>
            <w:r w:rsidRPr="00B161C7">
              <w:rPr>
                <w:rFonts w:ascii="Calibri" w:eastAsia="Calibri" w:hAnsi="Calibri" w:cs="Arial"/>
                <w:sz w:val="20"/>
                <w:szCs w:val="20"/>
              </w:rPr>
              <w:t xml:space="preserve">. Most OA CPGs did not specify an optimal type of strength training with the exception of the EULAR CPG that recommended home isometric strengthening exercises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Other forms of exercise recommended included mobility (e.g. range of motion, stretching) </w:t>
            </w:r>
            <w:r w:rsidRPr="005038FB">
              <w:rPr>
                <w:rFonts w:ascii="Calibri" w:eastAsia="Calibri" w:hAnsi="Calibri" w:cs="Arial"/>
                <w:noProof/>
                <w:sz w:val="20"/>
                <w:szCs w:val="20"/>
                <w:vertAlign w:val="superscript"/>
              </w:rPr>
              <w:t>36 42</w:t>
            </w:r>
            <w:r w:rsidRPr="00B161C7">
              <w:rPr>
                <w:rFonts w:ascii="Calibri" w:eastAsia="Calibri" w:hAnsi="Calibri" w:cs="Arial"/>
                <w:sz w:val="20"/>
                <w:szCs w:val="20"/>
              </w:rPr>
              <w:t xml:space="preserve">, water-based exercises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neuromuscular education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or tai chi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emphasised consideration of the patient’s context on exercise selection and delivery type e.g. group vs individual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w:t>
            </w:r>
          </w:p>
          <w:p w14:paraId="13789AD9" w14:textId="77777777" w:rsidR="00AB3A3C" w:rsidRPr="00B161C7" w:rsidRDefault="00AB3A3C" w:rsidP="00D35636">
            <w:pPr>
              <w:spacing w:after="0" w:line="240" w:lineRule="auto"/>
              <w:rPr>
                <w:rFonts w:ascii="Calibri" w:eastAsia="Calibri" w:hAnsi="Calibri" w:cs="Arial"/>
                <w:sz w:val="20"/>
                <w:szCs w:val="20"/>
              </w:rPr>
            </w:pPr>
          </w:p>
          <w:p w14:paraId="14D9251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LBP CPGs had weak recommendations for specific exercises. The Danish LBP CPG development group made a consensus-based recommendation for directional and motor control exercise for lumbar radiculopathy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The NICE and Belgium LBP CPGs recommended biomechanical, aerobic, mind-body or a combination of these exercise approaches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chiropractic CPG recommended considering “general and/or specific exercise programs” as a possible adjunct to core manual therapy treatments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whereas in the NICE CPG exercise was a central part of multimodal care that could also include psychological therapies and manual therapy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Tailoring exercise according to individual needs and preferences was recommended by the NICE and Belgian CPGs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14:paraId="696FB36C" w14:textId="77777777" w:rsidR="00AB3A3C" w:rsidRPr="00B161C7" w:rsidRDefault="00AB3A3C" w:rsidP="00D35636">
            <w:pPr>
              <w:spacing w:after="0" w:line="240" w:lineRule="auto"/>
              <w:rPr>
                <w:rFonts w:ascii="Calibri" w:eastAsia="Calibri" w:hAnsi="Calibri" w:cs="Arial"/>
                <w:sz w:val="20"/>
                <w:szCs w:val="20"/>
              </w:rPr>
            </w:pPr>
          </w:p>
          <w:p w14:paraId="7D43238D"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NAD recommendations for specific exercise were “weak”, based on low to moderate evidence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or “to be considered” based one or more studies with low risk of bias or systematic reviews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Patients with recent onset NAD could consider range of movement exercises or exercise as part of multimodal care (grades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NAD (Grade I-II) specific exercise recommendations included stretching or self-mobilisation or, for grades I-III NAD, cervical retraction, deep neck flexor strengthening, and cervical rotation ROM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Other specific exercises for persistent NAD, including Iyengar yoga, qigong, and strengthening, were recommended to be undertaken under supervision (discussed below)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although a mix of supervised and unsupervised high intensity strength training was recommended for workers with persistent neck and shoulder pain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14:paraId="13B7D8F4" w14:textId="77777777" w:rsidR="00AB3A3C" w:rsidRPr="00B161C7" w:rsidRDefault="00AB3A3C" w:rsidP="00D35636">
            <w:pPr>
              <w:spacing w:after="0" w:line="240" w:lineRule="auto"/>
              <w:rPr>
                <w:rFonts w:ascii="Calibri" w:eastAsia="Calibri" w:hAnsi="Calibri" w:cs="Arial"/>
                <w:sz w:val="20"/>
                <w:szCs w:val="20"/>
              </w:rPr>
            </w:pPr>
          </w:p>
          <w:p w14:paraId="0F0ABE84"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CPG for rotator cuff disorders recommended that patients should be treated initially with prescribed exercise, such as range of motion, stretching and flexibility, and strengthening techniques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If there is an established problem, patients should also be advised to maintain activity within the limits of pain and function of the shoulder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14:paraId="2A3B986F" w14:textId="77777777" w:rsidR="00AB3A3C" w:rsidRPr="00B161C7" w:rsidRDefault="00AB3A3C" w:rsidP="00D35636">
            <w:pPr>
              <w:spacing w:after="0" w:line="240" w:lineRule="auto"/>
              <w:rPr>
                <w:rFonts w:ascii="Calibri" w:eastAsia="Calibri" w:hAnsi="Calibri" w:cs="Arial"/>
                <w:sz w:val="20"/>
                <w:szCs w:val="20"/>
              </w:rPr>
            </w:pPr>
          </w:p>
          <w:p w14:paraId="4B53A2EE"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Supervised exercise</w:t>
            </w:r>
          </w:p>
          <w:p w14:paraId="629E5EA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CPG for OA recommended offering supervised or independent exercise based on individual needs, circumstances, motivation and service availability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Three LBP CPGs made weak recommendations for supervised exercise programs. The chiropractic CPG suggests supervised exercise as a possible addition to spinal manual therapy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The NICE CPG suggests individualising a supervised exercise program that could include biomechanical, aerobic, mind-body or a combination of approaches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The Danish LBP CPG made a weak recommendation for supervised exercise for LBP and lumbar radiculopathy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This was in accordance with the NICE LBP CPG that also recommended group exercise for people with recent onset lumbar nerve compression or LBP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Neck pain CPGs recommended supervised exercises for patients with persistent NAD including; supervised graded neck strengthening (grade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strengthening, range of movement, qigong, Iyengar yoga or exercise as part of multimodal care (grade I-II)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WAD supervised exercise could be offered with advice or advice alone (grade I-II)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w:t>
            </w:r>
          </w:p>
          <w:p w14:paraId="70A2E0FF" w14:textId="77777777" w:rsidR="00AB3A3C" w:rsidRPr="00B161C7" w:rsidRDefault="00AB3A3C" w:rsidP="00D35636">
            <w:pPr>
              <w:spacing w:after="0" w:line="240" w:lineRule="auto"/>
              <w:rPr>
                <w:rFonts w:ascii="Calibri" w:eastAsia="Calibri" w:hAnsi="Calibri" w:cs="Arial"/>
                <w:sz w:val="20"/>
                <w:szCs w:val="20"/>
              </w:rPr>
            </w:pPr>
          </w:p>
          <w:p w14:paraId="339E81C9"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62E5CC44" w14:textId="77777777" w:rsidR="00AB3A3C" w:rsidRPr="00B161C7" w:rsidRDefault="00AB3A3C" w:rsidP="00AB3A3C">
            <w:pPr>
              <w:numPr>
                <w:ilvl w:val="0"/>
                <w:numId w:val="3"/>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Patients should receive management addressing physical activity and/or exercise.  </w:t>
            </w:r>
          </w:p>
          <w:p w14:paraId="24DA3B26"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 </w:t>
            </w:r>
          </w:p>
        </w:tc>
      </w:tr>
      <w:tr w:rsidR="00AB3A3C" w:rsidRPr="00B161C7" w14:paraId="0F35EBB0" w14:textId="77777777" w:rsidTr="00D35636">
        <w:tc>
          <w:tcPr>
            <w:tcW w:w="811" w:type="pct"/>
          </w:tcPr>
          <w:p w14:paraId="41EA2EF1"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Self-management</w:t>
            </w:r>
          </w:p>
        </w:tc>
        <w:tc>
          <w:tcPr>
            <w:tcW w:w="4189" w:type="pct"/>
          </w:tcPr>
          <w:p w14:paraId="5017BC1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a number of CPGs self-management was closely related to the provision of patient education and exercise advice (discussed above). Other CPGs referred to self-management as a formal approach, such as participation in self-management programs, or involving patients attending to their own care e.g. through exercise and rehabilitation. </w:t>
            </w:r>
          </w:p>
          <w:p w14:paraId="39970DA7" w14:textId="77777777" w:rsidR="00AB3A3C" w:rsidRPr="00B161C7" w:rsidRDefault="00AB3A3C" w:rsidP="00D35636">
            <w:pPr>
              <w:spacing w:after="0" w:line="240" w:lineRule="auto"/>
              <w:rPr>
                <w:rFonts w:ascii="Calibri" w:eastAsia="Calibri" w:hAnsi="Calibri" w:cs="Arial"/>
                <w:sz w:val="20"/>
                <w:szCs w:val="20"/>
              </w:rPr>
            </w:pPr>
          </w:p>
          <w:p w14:paraId="72F396F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for OA made strong recommendations for participation in formal self-management programs, such as programs led by “rheumatologists, nurses, physical and occupational therapists, and health educators”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completed in </w:t>
            </w:r>
            <w:proofErr w:type="gramStart"/>
            <w:r w:rsidRPr="00B161C7">
              <w:rPr>
                <w:rFonts w:ascii="Calibri" w:eastAsia="Calibri" w:hAnsi="Calibri" w:cs="Arial"/>
                <w:sz w:val="20"/>
                <w:szCs w:val="20"/>
              </w:rPr>
              <w:t>groups,  individually</w:t>
            </w:r>
            <w:proofErr w:type="gramEnd"/>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or with telephone support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Not all CPGs specified the content of self-management programs for OA although the NICE CPG emphasised that such programs include the core elements of information, activity and exercise, and weight loss if overweight or obese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14:paraId="05F3264D" w14:textId="77777777" w:rsidR="00AB3A3C" w:rsidRPr="00B161C7" w:rsidRDefault="00AB3A3C" w:rsidP="00D35636">
            <w:pPr>
              <w:spacing w:after="0" w:line="240" w:lineRule="auto"/>
              <w:rPr>
                <w:rFonts w:ascii="Calibri" w:eastAsia="Calibri" w:hAnsi="Calibri" w:cs="Arial"/>
                <w:sz w:val="20"/>
                <w:szCs w:val="20"/>
              </w:rPr>
            </w:pPr>
          </w:p>
          <w:p w14:paraId="5C10FDA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for neck pain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made weaker recommendations for patient self-management, and emphasised patient self-care, such as exercise. One CPG for persistent NAD grades I to II made a weak recommendation, based on patient preference, for “stress self-management”, consisting of relaxation, balance and body awareness exercises, pain and stress self-management lectures, and discussion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14:paraId="12E02440" w14:textId="77777777" w:rsidR="00AB3A3C" w:rsidRPr="00B161C7" w:rsidRDefault="00AB3A3C" w:rsidP="00D35636">
            <w:pPr>
              <w:spacing w:after="0" w:line="240" w:lineRule="auto"/>
              <w:rPr>
                <w:rFonts w:ascii="Calibri" w:eastAsia="Calibri" w:hAnsi="Calibri" w:cs="Arial"/>
                <w:sz w:val="20"/>
                <w:szCs w:val="20"/>
              </w:rPr>
            </w:pPr>
          </w:p>
          <w:p w14:paraId="3BDB5549"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14:paraId="6863A789" w14:textId="77777777"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Self-management programs should be offered to patients with osteoarthritis.</w:t>
            </w:r>
          </w:p>
          <w:p w14:paraId="521F20B0"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   </w:t>
            </w:r>
          </w:p>
        </w:tc>
      </w:tr>
      <w:tr w:rsidR="00AB3A3C" w:rsidRPr="00B161C7" w14:paraId="7C922C41" w14:textId="77777777" w:rsidTr="00D35636">
        <w:tc>
          <w:tcPr>
            <w:tcW w:w="811" w:type="pct"/>
          </w:tcPr>
          <w:p w14:paraId="229F7A0F"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Lifestyle changes </w:t>
            </w:r>
          </w:p>
        </w:tc>
        <w:tc>
          <w:tcPr>
            <w:tcW w:w="4189" w:type="pct"/>
          </w:tcPr>
          <w:p w14:paraId="5B1A50FD"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Weight loss for OA</w:t>
            </w:r>
          </w:p>
          <w:p w14:paraId="1BA1D4F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Three CPGs for OA strongly recommended weight loss for people with OA who are overweight or obese </w:t>
            </w:r>
            <w:r w:rsidRPr="005038FB">
              <w:rPr>
                <w:rFonts w:ascii="Calibri" w:eastAsia="Calibri" w:hAnsi="Calibri" w:cs="Arial"/>
                <w:noProof/>
                <w:sz w:val="20"/>
                <w:szCs w:val="20"/>
                <w:vertAlign w:val="superscript"/>
              </w:rPr>
              <w:t>36 42 45</w:t>
            </w:r>
            <w:r w:rsidRPr="00B161C7">
              <w:rPr>
                <w:rFonts w:ascii="Calibri" w:eastAsia="Calibri" w:hAnsi="Calibri" w:cs="Arial"/>
                <w:sz w:val="20"/>
                <w:szCs w:val="20"/>
              </w:rPr>
              <w:t xml:space="preserve"> and one CPG made a ‘could do’ recommendation based on moderate evidence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Alongside the provision of information, activity, and exercise, weight loss is one of the core recommendations of the NICE OA CPG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14:paraId="2A733C5B" w14:textId="77777777" w:rsidR="00AB3A3C" w:rsidRPr="00B161C7" w:rsidRDefault="00AB3A3C" w:rsidP="00D35636">
            <w:pPr>
              <w:spacing w:after="0" w:line="240" w:lineRule="auto"/>
              <w:rPr>
                <w:rFonts w:ascii="Calibri" w:eastAsia="Calibri" w:hAnsi="Calibri" w:cs="Arial"/>
                <w:sz w:val="20"/>
                <w:szCs w:val="20"/>
              </w:rPr>
            </w:pPr>
          </w:p>
          <w:p w14:paraId="21DF2CE0"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14:paraId="09C96199" w14:textId="77777777" w:rsidR="00AB3A3C" w:rsidRPr="00B161C7" w:rsidRDefault="00AB3A3C" w:rsidP="00AB3A3C">
            <w:pPr>
              <w:numPr>
                <w:ilvl w:val="0"/>
                <w:numId w:val="3"/>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Interventions targeting weight loss should be offered to people with OA who are overweight or obese.</w:t>
            </w:r>
            <w:r w:rsidRPr="00B161C7">
              <w:rPr>
                <w:rFonts w:ascii="Calibri" w:eastAsia="Calibri" w:hAnsi="Calibri" w:cs="Arial"/>
                <w:sz w:val="20"/>
                <w:szCs w:val="20"/>
              </w:rPr>
              <w:t xml:space="preserve"> </w:t>
            </w:r>
          </w:p>
          <w:p w14:paraId="0DB1E45B"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5B859164" w14:textId="77777777" w:rsidTr="00D35636">
        <w:tc>
          <w:tcPr>
            <w:tcW w:w="811" w:type="pct"/>
          </w:tcPr>
          <w:p w14:paraId="0EB8B878"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Pharmacological</w:t>
            </w:r>
          </w:p>
        </w:tc>
        <w:tc>
          <w:tcPr>
            <w:tcW w:w="4189" w:type="pct"/>
          </w:tcPr>
          <w:p w14:paraId="5F899B00"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Simple Analgesia </w:t>
            </w:r>
          </w:p>
          <w:p w14:paraId="3D0C2CD0"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Most CPGs emphasised simple analgesics for the initial pharmacological management of MSK pain. Three CPGs for OA recommended non-steroidal anti-inflammatory drugs (NSAIDS) for initial pharmacological pain relief </w:t>
            </w:r>
            <w:r w:rsidRPr="005038FB">
              <w:rPr>
                <w:rFonts w:ascii="Calibri" w:eastAsia="Calibri" w:hAnsi="Calibri" w:cs="Arial"/>
                <w:noProof/>
                <w:sz w:val="20"/>
                <w:szCs w:val="20"/>
                <w:vertAlign w:val="superscript"/>
              </w:rPr>
              <w:t>39 42 45</w:t>
            </w:r>
            <w:r w:rsidRPr="00B161C7">
              <w:rPr>
                <w:rFonts w:ascii="Calibri" w:eastAsia="Calibri" w:hAnsi="Calibri" w:cs="Arial"/>
                <w:sz w:val="20"/>
                <w:szCs w:val="20"/>
              </w:rPr>
              <w:t xml:space="preserve">. The NICE and OARSI CPGs recommended topical NSAIDS prior to oral forms. The NICE CPG recommended co-prescription of NSAIDS with a proton pump inhibitor (PPI)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whereas the OARSI CPG recommended co-prescription of a PPI when patients were at high co-morbidity risk, although advised against oral NSAIDS in this patient group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Acetaminophen/paracetamol was recommended by the OARSI (amongst patients without co-morbidities)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and NICE CPGs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with no recommendation made by the AAOS due to uncertainty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NICE recommended first line pharmacological management with paracetamol and topical NSAIDS before consideration of adding an oral NSAIDS to paracetamol. </w:t>
            </w:r>
          </w:p>
          <w:p w14:paraId="171FEAED" w14:textId="77777777" w:rsidR="00AB3A3C" w:rsidRPr="00B161C7" w:rsidRDefault="00AB3A3C" w:rsidP="00D35636">
            <w:pPr>
              <w:spacing w:after="0" w:line="240" w:lineRule="auto"/>
              <w:rPr>
                <w:rFonts w:ascii="Calibri" w:eastAsia="Calibri" w:hAnsi="Calibri" w:cs="Arial"/>
                <w:sz w:val="20"/>
                <w:szCs w:val="20"/>
              </w:rPr>
            </w:pPr>
          </w:p>
          <w:p w14:paraId="3E8444E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recommended against paracetamol as a stand-alone treatment for LBP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Oral NSAIDS were the preferred pharmacological management for LBP although all CPGs recommended judicious prescribing, giving due consideration to risk factors, gastro protective treatment, and using the lowest effective dose for the shortest possible time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Danish LBP CPG weakly recommended against adding NSAIDS to usual care (information and advice about activity disease progression, prognosis and possible medical pain management) as evidence suggested no short term effect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w:t>
            </w:r>
          </w:p>
          <w:p w14:paraId="73539A8B" w14:textId="77777777" w:rsidR="00AB3A3C" w:rsidRPr="00B161C7" w:rsidRDefault="00AB3A3C" w:rsidP="00D35636">
            <w:pPr>
              <w:spacing w:after="0" w:line="240" w:lineRule="auto"/>
              <w:rPr>
                <w:rFonts w:ascii="Calibri" w:eastAsia="Calibri" w:hAnsi="Calibri" w:cs="Arial"/>
                <w:sz w:val="20"/>
                <w:szCs w:val="20"/>
              </w:rPr>
            </w:pPr>
          </w:p>
          <w:p w14:paraId="695CBDC8"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neck pain CPGs had differing recommendations regarding simple analgesia. For recent onset NAD the chiropractic CPG included a weak recommendation for NSAIDS or acetaminophen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The OPTIMA guidelines recommended against stand-alone acetaminophen for both recent and persistent NAD grade I-II and NSAIDS only for persistent NAD grades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The single rotator cuff CPG strongly recommended paracetamol initially for acute pain, progressing to topical or oral NSAIDS alone or in conjunction with paracetamol if required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14:paraId="25E98217" w14:textId="77777777" w:rsidR="00AB3A3C" w:rsidRPr="00B161C7" w:rsidRDefault="00AB3A3C" w:rsidP="00D35636">
            <w:pPr>
              <w:spacing w:after="0" w:line="240" w:lineRule="auto"/>
              <w:rPr>
                <w:rFonts w:ascii="Calibri" w:eastAsia="Calibri" w:hAnsi="Calibri" w:cs="Arial"/>
                <w:sz w:val="20"/>
                <w:szCs w:val="20"/>
              </w:rPr>
            </w:pPr>
          </w:p>
          <w:p w14:paraId="0A307D6E"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Opioids </w:t>
            </w:r>
          </w:p>
          <w:p w14:paraId="0148ACF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of three CPGs for OA were uncertain regarding the use of opioids due to a lack of relevant studies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or uncertainties of risks versus benefits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The NICE OA CPG recommended considering weak opioids if paracetamol or NSAIDS provide insufficient relief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w:t>
            </w:r>
          </w:p>
          <w:p w14:paraId="5C206EEC" w14:textId="77777777" w:rsidR="00AB3A3C" w:rsidRPr="00B161C7" w:rsidRDefault="00AB3A3C" w:rsidP="00D35636">
            <w:pPr>
              <w:spacing w:after="0" w:line="240" w:lineRule="auto"/>
              <w:rPr>
                <w:rFonts w:ascii="Calibri" w:eastAsia="Calibri" w:hAnsi="Calibri" w:cs="Arial"/>
                <w:sz w:val="20"/>
                <w:szCs w:val="20"/>
              </w:rPr>
            </w:pPr>
          </w:p>
          <w:p w14:paraId="634C42DA"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recommended against routine use of opioids for LBP. For acute LBP two CPGs recommended considering weak opioids only if a NSAID is contraindicated, not tolerated or ineffective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Danish LBP CPG recommended opioid use only after careful consideration noting that evidence indicated no short-term effect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Both NICE and Belgium CPGs strongly recommended against opioids for persistent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w:t>
            </w:r>
          </w:p>
          <w:p w14:paraId="7FAD98CE" w14:textId="77777777" w:rsidR="00AB3A3C" w:rsidRPr="00B161C7" w:rsidRDefault="00AB3A3C" w:rsidP="00D35636">
            <w:pPr>
              <w:spacing w:after="0" w:line="240" w:lineRule="auto"/>
              <w:rPr>
                <w:rFonts w:ascii="Calibri" w:eastAsia="Calibri" w:hAnsi="Calibri" w:cs="Arial"/>
                <w:sz w:val="20"/>
                <w:szCs w:val="20"/>
              </w:rPr>
            </w:pPr>
          </w:p>
          <w:p w14:paraId="41CC2174"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CPGs for NAD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and rotator cuff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made no recommendations for opioid use. Both noted a lack of evidence for their use, with the NAD CPG describing associated risks including “dose-dependent risk for serious harms, including increased risk for overdose, dependence, and myocardial infarction”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14:paraId="4F2C3A7A" w14:textId="77777777" w:rsidR="00AB3A3C" w:rsidRPr="00B161C7" w:rsidRDefault="00AB3A3C" w:rsidP="00D35636">
            <w:pPr>
              <w:spacing w:after="0" w:line="240" w:lineRule="auto"/>
              <w:rPr>
                <w:rFonts w:ascii="Calibri" w:eastAsia="Calibri" w:hAnsi="Calibri" w:cs="Arial"/>
                <w:sz w:val="20"/>
                <w:szCs w:val="20"/>
              </w:rPr>
            </w:pPr>
          </w:p>
          <w:p w14:paraId="6ECC4444"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Muscle Relaxants</w:t>
            </w:r>
          </w:p>
          <w:p w14:paraId="2D63DEC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made weak recommendations for muscle relaxants as part of multimodal care for recent onset NAD grade I-II although the specific medications were not described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The Belgian LBP CPG offered a strong recommendation against muscle relaxants for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The NICE CPG noted a lack of evidence and listed investigation of the efficacy of muscle relaxants in treating LBP a research priority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14:paraId="6B65B4A1" w14:textId="77777777" w:rsidR="00AB3A3C" w:rsidRPr="00B161C7" w:rsidRDefault="00AB3A3C" w:rsidP="00D35636">
            <w:pPr>
              <w:spacing w:after="0" w:line="240" w:lineRule="auto"/>
              <w:rPr>
                <w:rFonts w:ascii="Calibri" w:eastAsia="Calibri" w:hAnsi="Calibri" w:cs="Arial"/>
                <w:sz w:val="20"/>
                <w:szCs w:val="20"/>
              </w:rPr>
            </w:pPr>
          </w:p>
          <w:p w14:paraId="37CF83DE"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Other</w:t>
            </w:r>
          </w:p>
          <w:p w14:paraId="2F02AD66"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OA CPGs strongly recommended against using glucosamine and chondroitin for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 third CPG also strongly recommended against glucosamine and chondroitin for OA disease modification, but had an uncertain recommendation for pain relief, noting mixed findings from systematic reviews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recommended topical capsaicin for knee OA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and one also for hand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OARSI CPG recommended Duloxetine for multiple joint OA but not knee OA alone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Single CPGs recommended against rubefacients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and Risedronate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w:t>
            </w:r>
          </w:p>
          <w:p w14:paraId="14C2DC0D" w14:textId="77777777" w:rsidR="00AB3A3C" w:rsidRPr="00B161C7" w:rsidRDefault="00AB3A3C" w:rsidP="00D35636">
            <w:pPr>
              <w:spacing w:after="0" w:line="240" w:lineRule="auto"/>
              <w:rPr>
                <w:rFonts w:ascii="Calibri" w:eastAsia="Calibri" w:hAnsi="Calibri" w:cs="Arial"/>
                <w:sz w:val="20"/>
                <w:szCs w:val="20"/>
              </w:rPr>
            </w:pPr>
          </w:p>
          <w:p w14:paraId="1280A8D4"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NICE and Belgian CPGs strongly recommended against selective serotonin reuptake inhibitors for LBP or radicular pain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NICE LBP CPG also strongly recommended against serotonin– norepinephrine reuptake inhibitors or tricyclic antidepressants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Belgian LBP CPG recommended against their use in acute pain, and a weaker recommendation against routine use for patients with chronic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These CPGs also recommended against the use of anticonvulsants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14:paraId="6CD99924" w14:textId="77777777" w:rsidR="00AB3A3C" w:rsidRPr="00B161C7" w:rsidRDefault="00AB3A3C" w:rsidP="00D35636">
            <w:pPr>
              <w:spacing w:after="0" w:line="240" w:lineRule="auto"/>
              <w:rPr>
                <w:rFonts w:ascii="Calibri" w:eastAsia="Calibri" w:hAnsi="Calibri" w:cs="Arial"/>
                <w:sz w:val="20"/>
                <w:szCs w:val="20"/>
              </w:rPr>
            </w:pPr>
          </w:p>
          <w:p w14:paraId="72D4E8E5"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Consensus for single MSK pain conditions:</w:t>
            </w:r>
          </w:p>
          <w:p w14:paraId="6CF78BE7"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OA:</w:t>
            </w:r>
          </w:p>
          <w:p w14:paraId="6FBF20B7" w14:textId="77777777"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use Glucosamine or Chondroitin for disease modification </w:t>
            </w:r>
          </w:p>
          <w:p w14:paraId="1256F9CE" w14:textId="77777777" w:rsidR="00AB3A3C" w:rsidRPr="00B161C7" w:rsidRDefault="00AB3A3C" w:rsidP="00D35636">
            <w:p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LBP:</w:t>
            </w:r>
          </w:p>
          <w:p w14:paraId="2DBA07EA" w14:textId="77777777"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offer paracetamol as a single medication </w:t>
            </w:r>
          </w:p>
          <w:p w14:paraId="54CE58B3" w14:textId="77777777"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Avoid opioids for CLBP</w:t>
            </w:r>
          </w:p>
          <w:p w14:paraId="0B2DA9D1" w14:textId="77777777" w:rsidR="00AB3A3C" w:rsidRPr="00B161C7" w:rsidRDefault="00AB3A3C" w:rsidP="00AB3A3C">
            <w:pPr>
              <w:numPr>
                <w:ilvl w:val="0"/>
                <w:numId w:val="4"/>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Do not offer selective serotonin reuptake inhibitors, serotonin– norepinephrine reuptake inhibitors, tricyclic antidepressants or anticonvulsants for LBP </w:t>
            </w:r>
          </w:p>
          <w:p w14:paraId="71D861C8" w14:textId="77777777" w:rsidR="00AB3A3C" w:rsidRPr="00B161C7" w:rsidRDefault="00AB3A3C" w:rsidP="00D35636">
            <w:pPr>
              <w:spacing w:after="0" w:line="240" w:lineRule="auto"/>
              <w:ind w:left="360"/>
              <w:contextualSpacing/>
              <w:rPr>
                <w:rFonts w:ascii="Calibri" w:eastAsia="Calibri" w:hAnsi="Calibri" w:cs="Arial"/>
                <w:sz w:val="20"/>
                <w:szCs w:val="20"/>
              </w:rPr>
            </w:pPr>
          </w:p>
          <w:p w14:paraId="152C31F7"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Notes: although we were unable to identify a consensus for opioids nearly all CPGs identify the risks associated with opioids and limitations and uncertainty of evidence for their use. Opioids should not be used routinely, not first-line, their use should be time limited and at the lowest possible dose. </w:t>
            </w:r>
          </w:p>
        </w:tc>
      </w:tr>
      <w:tr w:rsidR="00AB3A3C" w:rsidRPr="00B161C7" w14:paraId="1ED5D1BB" w14:textId="77777777" w:rsidTr="00D35636">
        <w:tc>
          <w:tcPr>
            <w:tcW w:w="811" w:type="pct"/>
          </w:tcPr>
          <w:p w14:paraId="2E27A02A"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Passive Interventions – non-invasive </w:t>
            </w:r>
          </w:p>
          <w:p w14:paraId="4138483E" w14:textId="77777777" w:rsidR="00AB3A3C" w:rsidRPr="00B161C7" w:rsidRDefault="00AB3A3C" w:rsidP="00D35636">
            <w:pPr>
              <w:spacing w:after="0" w:line="240" w:lineRule="auto"/>
              <w:rPr>
                <w:rFonts w:ascii="Calibri" w:eastAsia="Calibri" w:hAnsi="Calibri" w:cs="Arial"/>
                <w:sz w:val="20"/>
                <w:szCs w:val="20"/>
              </w:rPr>
            </w:pPr>
          </w:p>
          <w:p w14:paraId="27385C53" w14:textId="77777777" w:rsidR="00AB3A3C" w:rsidRPr="00B161C7" w:rsidRDefault="00AB3A3C" w:rsidP="00D35636">
            <w:pPr>
              <w:spacing w:after="0" w:line="240" w:lineRule="auto"/>
              <w:rPr>
                <w:rFonts w:ascii="Calibri" w:eastAsia="Calibri" w:hAnsi="Calibri" w:cs="Arial"/>
                <w:sz w:val="20"/>
                <w:szCs w:val="20"/>
              </w:rPr>
            </w:pPr>
          </w:p>
        </w:tc>
        <w:tc>
          <w:tcPr>
            <w:tcW w:w="4189" w:type="pct"/>
          </w:tcPr>
          <w:p w14:paraId="383AA1E9"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Manual Therapy</w:t>
            </w:r>
          </w:p>
          <w:p w14:paraId="3C62459B"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With the exception of the chiropractic CPG, LBP CPGs offered weak recommendations for manual therapy </w:t>
            </w:r>
            <w:r w:rsidRPr="005038FB">
              <w:rPr>
                <w:rFonts w:ascii="Calibri" w:eastAsia="Calibri" w:hAnsi="Calibri" w:cs="Arial"/>
                <w:noProof/>
                <w:sz w:val="20"/>
                <w:szCs w:val="20"/>
                <w:vertAlign w:val="superscript"/>
              </w:rPr>
              <w:t>35 38 40</w:t>
            </w:r>
            <w:r w:rsidRPr="00B161C7">
              <w:rPr>
                <w:rFonts w:ascii="Calibri" w:eastAsia="Calibri" w:hAnsi="Calibri" w:cs="Arial"/>
                <w:sz w:val="20"/>
                <w:szCs w:val="20"/>
              </w:rPr>
              <w:t xml:space="preserve">. The chiropractic CPG made a stronger recommendation with spinal manipulation/mobilisation a core aspect of management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However, if utilised  CPGs recommended manual therapy be used as a component of multimodal care, in conjunction with other management strategies including exercise, psychological therapy, information, and activity advice </w:t>
            </w:r>
            <w:r w:rsidRPr="005038FB">
              <w:rPr>
                <w:rFonts w:ascii="Calibri" w:eastAsia="Calibri" w:hAnsi="Calibri" w:cs="Arial"/>
                <w:noProof/>
                <w:sz w:val="20"/>
                <w:szCs w:val="20"/>
                <w:vertAlign w:val="superscript"/>
              </w:rPr>
              <w:t>35 37 38 40</w:t>
            </w:r>
            <w:r w:rsidRPr="00B161C7">
              <w:rPr>
                <w:rFonts w:ascii="Calibri" w:eastAsia="Calibri" w:hAnsi="Calibri" w:cs="Arial"/>
                <w:sz w:val="20"/>
                <w:szCs w:val="20"/>
              </w:rPr>
              <w:t xml:space="preserve">. </w:t>
            </w:r>
          </w:p>
          <w:p w14:paraId="21151C9C" w14:textId="77777777" w:rsidR="00AB3A3C" w:rsidRPr="00B161C7" w:rsidRDefault="00AB3A3C" w:rsidP="00D35636">
            <w:pPr>
              <w:spacing w:after="0" w:line="240" w:lineRule="auto"/>
              <w:rPr>
                <w:rFonts w:ascii="Calibri" w:eastAsia="Calibri" w:hAnsi="Calibri" w:cs="Arial"/>
                <w:sz w:val="20"/>
                <w:szCs w:val="20"/>
              </w:rPr>
            </w:pPr>
          </w:p>
          <w:p w14:paraId="41F74338"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made weak recommendations for manual therapy for recent NAD grade I-II, generally as part of multimodal treatment that also included exercise or soft tissue therapy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 xml:space="preserve">. For persistent NAD Grade I-II CPGs recommended high dose or clinical massage, and not relaxation massage </w:t>
            </w:r>
            <w:r w:rsidRPr="005038FB">
              <w:rPr>
                <w:rFonts w:ascii="Calibri" w:eastAsia="Calibri" w:hAnsi="Calibri" w:cs="Arial"/>
                <w:noProof/>
                <w:sz w:val="20"/>
                <w:szCs w:val="20"/>
                <w:vertAlign w:val="superscript"/>
              </w:rPr>
              <w:t>33 34</w:t>
            </w:r>
            <w:r w:rsidRPr="00B161C7">
              <w:rPr>
                <w:rFonts w:ascii="Calibri" w:eastAsia="Calibri" w:hAnsi="Calibri" w:cs="Arial"/>
                <w:sz w:val="20"/>
                <w:szCs w:val="20"/>
              </w:rPr>
              <w:t>.</w:t>
            </w:r>
          </w:p>
          <w:p w14:paraId="45DA9E2D" w14:textId="77777777" w:rsidR="00AB3A3C" w:rsidRPr="00B161C7" w:rsidRDefault="00AB3A3C" w:rsidP="00D35636">
            <w:pPr>
              <w:spacing w:after="0" w:line="240" w:lineRule="auto"/>
              <w:rPr>
                <w:rFonts w:ascii="Calibri" w:eastAsia="Calibri" w:hAnsi="Calibri" w:cs="Arial"/>
                <w:sz w:val="20"/>
                <w:szCs w:val="20"/>
              </w:rPr>
            </w:pPr>
          </w:p>
          <w:p w14:paraId="6EF2EE3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CPG for knee OA did not make a recommendation due to uncertainty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Alternatively the NICE CPG made a weak recommendation to include manual therapy as an adjunct to core treatments, especially for hip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rotator cuff CPG made a weak recommendation to include manual therapy in conjunction with prescribed exercise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14:paraId="78AA04A7" w14:textId="77777777" w:rsidR="00AB3A3C" w:rsidRPr="00B161C7" w:rsidRDefault="00AB3A3C" w:rsidP="00D35636">
            <w:pPr>
              <w:spacing w:after="0" w:line="240" w:lineRule="auto"/>
              <w:rPr>
                <w:rFonts w:ascii="Calibri" w:eastAsia="Calibri" w:hAnsi="Calibri" w:cs="Arial"/>
                <w:sz w:val="20"/>
                <w:szCs w:val="20"/>
              </w:rPr>
            </w:pPr>
          </w:p>
          <w:p w14:paraId="2D8175ED"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5A95D74B" w14:textId="77777777" w:rsidR="00AB3A3C" w:rsidRPr="00B161C7" w:rsidRDefault="00AB3A3C" w:rsidP="00AB3A3C">
            <w:pPr>
              <w:numPr>
                <w:ilvl w:val="0"/>
                <w:numId w:val="6"/>
              </w:num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Apply manual therapy only as an adjunct to other evidence based treatments. </w:t>
            </w:r>
          </w:p>
          <w:p w14:paraId="41713C0D" w14:textId="77777777" w:rsidR="00AB3A3C" w:rsidRPr="00B161C7" w:rsidRDefault="00AB3A3C" w:rsidP="00D35636">
            <w:pPr>
              <w:spacing w:after="0" w:line="240" w:lineRule="auto"/>
              <w:rPr>
                <w:rFonts w:ascii="Calibri" w:eastAsia="Calibri" w:hAnsi="Calibri" w:cs="Arial"/>
                <w:sz w:val="20"/>
                <w:szCs w:val="20"/>
                <w:u w:val="single"/>
              </w:rPr>
            </w:pPr>
          </w:p>
          <w:p w14:paraId="30199677"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Electrotherapy </w:t>
            </w:r>
          </w:p>
          <w:p w14:paraId="60AE219B"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majority of CPGs recommended against or offered no recommendations for the use of electrotherapeutic agents. The exceptions were consideration of transcutaneous electrical nerve stimulation (TENS) for pain relief in knee OA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therapeutic pulsed ultrasound or low level laser therapy for persistent NAD, grade III and I-II respectively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or based on clinician judgement and patient preference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In contrast other CPGs recommended against TENS for LBP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electrotherapy for recent-onset NAD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ultrasound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electrotherapy for knee OA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and ultrasound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w:t>
            </w:r>
          </w:p>
          <w:p w14:paraId="134C1100" w14:textId="77777777" w:rsidR="00AB3A3C" w:rsidRPr="00B161C7" w:rsidRDefault="00AB3A3C" w:rsidP="00D35636">
            <w:pPr>
              <w:spacing w:after="0" w:line="240" w:lineRule="auto"/>
              <w:rPr>
                <w:rFonts w:ascii="Calibri" w:eastAsia="Calibri" w:hAnsi="Calibri" w:cs="Arial"/>
                <w:sz w:val="20"/>
                <w:szCs w:val="20"/>
              </w:rPr>
            </w:pPr>
          </w:p>
          <w:p w14:paraId="6834F0B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Notes: While we were unable to generate a consensus, use of electrotherapy was generally discouraged and there were no ‘should do’ recommendations.   </w:t>
            </w:r>
          </w:p>
          <w:p w14:paraId="52043DED" w14:textId="77777777" w:rsidR="00AB3A3C" w:rsidRPr="00B161C7" w:rsidRDefault="00AB3A3C" w:rsidP="00D35636">
            <w:pPr>
              <w:spacing w:after="0" w:line="240" w:lineRule="auto"/>
              <w:rPr>
                <w:rFonts w:ascii="Calibri" w:eastAsia="Calibri" w:hAnsi="Calibri" w:cs="Arial"/>
                <w:sz w:val="20"/>
                <w:szCs w:val="20"/>
              </w:rPr>
            </w:pPr>
          </w:p>
          <w:p w14:paraId="07C8A0F1"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Braces/Orthoses and Assistive Devices</w:t>
            </w:r>
          </w:p>
          <w:p w14:paraId="36D2E9F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OA CPGs recommended considering appropriate footwear </w:t>
            </w:r>
            <w:r w:rsidRPr="005038FB">
              <w:rPr>
                <w:rFonts w:ascii="Calibri" w:eastAsia="Calibri" w:hAnsi="Calibri" w:cs="Arial"/>
                <w:noProof/>
                <w:sz w:val="20"/>
                <w:szCs w:val="20"/>
                <w:vertAlign w:val="superscript"/>
              </w:rPr>
              <w:t>36 45</w:t>
            </w:r>
            <w:r w:rsidRPr="00B161C7">
              <w:rPr>
                <w:rFonts w:ascii="Calibri" w:eastAsia="Calibri" w:hAnsi="Calibri" w:cs="Arial"/>
                <w:sz w:val="20"/>
                <w:szCs w:val="20"/>
              </w:rPr>
              <w:t xml:space="preserve"> and knee braces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although one CPG noted inconsistent findings and a lack of appropriate research with respect to valgus directing force knee braces </w:t>
            </w:r>
            <w:r w:rsidRPr="005038FB">
              <w:rPr>
                <w:rFonts w:ascii="Calibri" w:eastAsia="Calibri" w:hAnsi="Calibri" w:cs="Arial"/>
                <w:noProof/>
                <w:sz w:val="20"/>
                <w:szCs w:val="20"/>
                <w:vertAlign w:val="superscript"/>
              </w:rPr>
              <w:t>58</w:t>
            </w:r>
            <w:r w:rsidRPr="00B161C7">
              <w:rPr>
                <w:rFonts w:ascii="Calibri" w:eastAsia="Calibri" w:hAnsi="Calibri" w:cs="Arial"/>
                <w:sz w:val="20"/>
                <w:szCs w:val="20"/>
              </w:rPr>
              <w:t xml:space="preserve">. Two CPGs recommended against lumbar belts or corsets for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Another recommended against routine use of lumbar supports although suggested cautious consideration based on clinician judgment, patient presentation, and preferences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Two CPGs recommended against rocker shoes or foot orthotics for LBP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One CPG recommended against use of a cervical collar for recent onset NAD grade I-II, or recent or persistent NAD grade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whilst another CPG for NAD did not recommend against cervical collar use for recent onset NAD grade III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Assistive aids such as walking sticks or frames should be considered to reduce pain when walking in knee/hip OA </w:t>
            </w:r>
            <w:r w:rsidRPr="005038FB">
              <w:rPr>
                <w:rFonts w:ascii="Calibri" w:eastAsia="Calibri" w:hAnsi="Calibri" w:cs="Arial"/>
                <w:noProof/>
                <w:sz w:val="20"/>
                <w:szCs w:val="20"/>
                <w:vertAlign w:val="superscript"/>
              </w:rPr>
              <w:t>36 42 45</w:t>
            </w:r>
            <w:r w:rsidRPr="00B161C7">
              <w:rPr>
                <w:rFonts w:ascii="Calibri" w:eastAsia="Calibri" w:hAnsi="Calibri" w:cs="Arial"/>
                <w:sz w:val="20"/>
                <w:szCs w:val="20"/>
              </w:rPr>
              <w:t xml:space="preserve">. </w:t>
            </w:r>
          </w:p>
          <w:p w14:paraId="5467375F" w14:textId="77777777" w:rsidR="00AB3A3C" w:rsidRPr="00B161C7" w:rsidRDefault="00AB3A3C" w:rsidP="00D35636">
            <w:pPr>
              <w:spacing w:after="0" w:line="240" w:lineRule="auto"/>
              <w:rPr>
                <w:rFonts w:ascii="Calibri" w:eastAsia="Calibri" w:hAnsi="Calibri" w:cs="Arial"/>
                <w:sz w:val="20"/>
                <w:szCs w:val="20"/>
              </w:rPr>
            </w:pPr>
          </w:p>
          <w:p w14:paraId="16C414A7"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highlight w:val="green"/>
              </w:rPr>
              <w:t>Consensus for one MSK pain condition: Rocker shoes or foot orthotics should not be used to manage LBP.</w:t>
            </w:r>
          </w:p>
          <w:p w14:paraId="7B58F5AC" w14:textId="77777777" w:rsidR="00AB3A3C" w:rsidRPr="00B161C7" w:rsidRDefault="00AB3A3C" w:rsidP="00D35636">
            <w:pPr>
              <w:spacing w:after="0" w:line="240" w:lineRule="auto"/>
              <w:rPr>
                <w:rFonts w:ascii="Calibri" w:eastAsia="Calibri" w:hAnsi="Calibri" w:cs="Arial"/>
                <w:sz w:val="20"/>
                <w:szCs w:val="20"/>
                <w:u w:val="single"/>
              </w:rPr>
            </w:pPr>
          </w:p>
        </w:tc>
      </w:tr>
      <w:tr w:rsidR="00AB3A3C" w:rsidRPr="00B161C7" w14:paraId="1E4CF1DB" w14:textId="77777777" w:rsidTr="00D35636">
        <w:tc>
          <w:tcPr>
            <w:tcW w:w="811" w:type="pct"/>
          </w:tcPr>
          <w:p w14:paraId="0BDBAB5C"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Psychological therapies</w:t>
            </w:r>
          </w:p>
          <w:p w14:paraId="05499349" w14:textId="77777777" w:rsidR="00AB3A3C" w:rsidRPr="00B161C7" w:rsidRDefault="00AB3A3C" w:rsidP="00D35636">
            <w:pPr>
              <w:spacing w:after="0" w:line="240" w:lineRule="auto"/>
              <w:rPr>
                <w:rFonts w:ascii="Calibri" w:eastAsia="Calibri" w:hAnsi="Calibri" w:cs="Arial"/>
                <w:sz w:val="20"/>
                <w:szCs w:val="20"/>
              </w:rPr>
            </w:pPr>
          </w:p>
        </w:tc>
        <w:tc>
          <w:tcPr>
            <w:tcW w:w="4189" w:type="pct"/>
          </w:tcPr>
          <w:p w14:paraId="72A4071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Psychological therapies were only recommended in the management of LBP and NAD. </w:t>
            </w:r>
          </w:p>
          <w:p w14:paraId="19B13109" w14:textId="77777777" w:rsidR="00AB3A3C" w:rsidRPr="00B161C7" w:rsidRDefault="00AB3A3C" w:rsidP="00D35636">
            <w:pPr>
              <w:spacing w:after="0" w:line="240" w:lineRule="auto"/>
              <w:rPr>
                <w:rFonts w:ascii="Calibri" w:eastAsia="Calibri" w:hAnsi="Calibri" w:cs="Arial"/>
                <w:sz w:val="20"/>
                <w:szCs w:val="20"/>
              </w:rPr>
            </w:pPr>
          </w:p>
          <w:p w14:paraId="3DB2EFED"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All LBP CPGs offered weak recommendations for psychological therapies. Three CPGs discussed offering a cognitive behavioural approach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combined psychological and physical approach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or “consider psychosocial aspects of LBP”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based on individual needs and/or risk stratification. The chiropractic CPG recommended considering cognitive behavioural programs or psychosocial counselling in addition to spinal manipulation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14:paraId="14AB1FC8" w14:textId="77777777" w:rsidR="00AB3A3C" w:rsidRPr="00B161C7" w:rsidRDefault="00AB3A3C" w:rsidP="00D35636">
            <w:pPr>
              <w:spacing w:after="0" w:line="240" w:lineRule="auto"/>
              <w:rPr>
                <w:rFonts w:ascii="Calibri" w:eastAsia="Calibri" w:hAnsi="Calibri" w:cs="Arial"/>
                <w:sz w:val="20"/>
                <w:szCs w:val="20"/>
              </w:rPr>
            </w:pPr>
          </w:p>
          <w:p w14:paraId="03EEF67B"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persistent NAD grades I-II, one CPG included a weak recommendation for stress-management programs that included relaxation, balance and body awareness exercises, pain and stress management lectures, and discussion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In contrast another CPG recommended against stand-alone relaxation training in isolation for persistent NAD grades I-II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w:t>
            </w:r>
          </w:p>
          <w:p w14:paraId="0172705B"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72C6B89A" w14:textId="77777777" w:rsidTr="00D35636">
        <w:tc>
          <w:tcPr>
            <w:tcW w:w="811" w:type="pct"/>
          </w:tcPr>
          <w:p w14:paraId="08E72B24"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Passive Interventions – invasive </w:t>
            </w:r>
          </w:p>
        </w:tc>
        <w:tc>
          <w:tcPr>
            <w:tcW w:w="4189" w:type="pct"/>
          </w:tcPr>
          <w:p w14:paraId="276EB51F"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Surgery</w:t>
            </w:r>
          </w:p>
          <w:p w14:paraId="5D272876"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CPGs for OA discussed surgery. Both CPGs recommended strongly against knee arthroscopic lavage and debridement for knee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with the exception being a clear history of mechanical locking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NICE CPG strongly recommended ensuring patients have been offered core non-surgical treatments for OA prior to consideration of surgery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NICE CPG also makes several recommendations about the surgical decision making process, including; basing referral decisions on discussion rather than priority scoring tools, that there is a substantial impact on patient quality of life and limited response to non-surgical care, that referrals occur before there is longstanding functional limitations and pain, and ensuring that patient-specific factors such as age, sex, smoking, obesity and comorbidities do not act as barriers for surgical referral </w:t>
            </w:r>
            <w:r w:rsidRPr="005038FB">
              <w:rPr>
                <w:rFonts w:ascii="Calibri" w:eastAsia="Calibri" w:hAnsi="Calibri" w:cs="Arial"/>
                <w:noProof/>
                <w:sz w:val="20"/>
                <w:szCs w:val="20"/>
                <w:vertAlign w:val="superscript"/>
              </w:rPr>
              <w:t>45</w:t>
            </w:r>
            <w:r w:rsidRPr="00B161C7">
              <w:rPr>
                <w:rFonts w:ascii="Calibri" w:eastAsia="Calibri" w:hAnsi="Calibri" w:cs="Arial"/>
                <w:sz w:val="20"/>
                <w:szCs w:val="20"/>
              </w:rPr>
              <w:t xml:space="preserve">. The AAOS CPG also provided a weak recommendation for valgus producing proximal tibial osteotomy, and not to use the </w:t>
            </w:r>
            <w:proofErr w:type="spellStart"/>
            <w:r w:rsidRPr="00B161C7">
              <w:rPr>
                <w:rFonts w:ascii="Calibri" w:eastAsia="Calibri" w:hAnsi="Calibri" w:cs="Arial"/>
                <w:sz w:val="20"/>
                <w:szCs w:val="20"/>
              </w:rPr>
              <w:t>freefloating</w:t>
            </w:r>
            <w:proofErr w:type="spellEnd"/>
            <w:r w:rsidRPr="00B161C7">
              <w:rPr>
                <w:rFonts w:ascii="Calibri" w:eastAsia="Calibri" w:hAnsi="Calibri" w:cs="Arial"/>
                <w:sz w:val="20"/>
                <w:szCs w:val="20"/>
              </w:rPr>
              <w:t xml:space="preserve"> (un-fixed) </w:t>
            </w:r>
            <w:proofErr w:type="spellStart"/>
            <w:r w:rsidRPr="00B161C7">
              <w:rPr>
                <w:rFonts w:ascii="Calibri" w:eastAsia="Calibri" w:hAnsi="Calibri" w:cs="Arial"/>
                <w:sz w:val="20"/>
                <w:szCs w:val="20"/>
              </w:rPr>
              <w:t>interpositional</w:t>
            </w:r>
            <w:proofErr w:type="spellEnd"/>
            <w:r w:rsidRPr="00B161C7">
              <w:rPr>
                <w:rFonts w:ascii="Calibri" w:eastAsia="Calibri" w:hAnsi="Calibri" w:cs="Arial"/>
                <w:sz w:val="20"/>
                <w:szCs w:val="20"/>
              </w:rPr>
              <w:t xml:space="preserve"> device in patients with symptomatic medial compartment knee OA (consensus)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w:t>
            </w:r>
          </w:p>
          <w:p w14:paraId="42480FEB" w14:textId="77777777" w:rsidR="00AB3A3C" w:rsidRPr="00B161C7" w:rsidRDefault="00AB3A3C" w:rsidP="00D35636">
            <w:pPr>
              <w:spacing w:after="0" w:line="240" w:lineRule="auto"/>
              <w:rPr>
                <w:rFonts w:ascii="Calibri" w:eastAsia="Calibri" w:hAnsi="Calibri" w:cs="Arial"/>
                <w:sz w:val="20"/>
                <w:szCs w:val="20"/>
              </w:rPr>
            </w:pPr>
          </w:p>
          <w:p w14:paraId="619792D2"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Two LBP CPGs included recommendations regarding surgery. Both NICE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and Belgian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CPGs recommended against disc replacement for LBP. Similarly they recommended that spinal fusion for LBP should only be considered if part of a randomised control trial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or, if multimodal conservative care has not changed the outcome, following evaluation in a multidisciplinary consultation, and preferably registered in a data registry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Both CPGs weakly recommended spinal decompression for sciatica if conservative care has been unsuccessful and radiological and clinical findings are concordant. Lastly, the NICE CPG recommended not allowing a person’s BMI, smoking status or psychological distress to influence surgical referral decisions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14:paraId="0EE86413" w14:textId="77777777" w:rsidR="00AB3A3C" w:rsidRPr="00B161C7" w:rsidRDefault="00AB3A3C" w:rsidP="00D35636">
            <w:pPr>
              <w:spacing w:after="0" w:line="240" w:lineRule="auto"/>
              <w:rPr>
                <w:rFonts w:ascii="Calibri" w:eastAsia="Calibri" w:hAnsi="Calibri" w:cs="Arial"/>
                <w:sz w:val="20"/>
                <w:szCs w:val="20"/>
              </w:rPr>
            </w:pPr>
          </w:p>
          <w:p w14:paraId="0453E1F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CPG for rotator cuff disorders recommended seeking surgical review if three months of conservative care has been unsuccessful and/or following a period of conservative care there is a symptomatic full thickness rotator cuff tear on </w:t>
            </w:r>
            <w:proofErr w:type="gramStart"/>
            <w:r w:rsidRPr="00B161C7">
              <w:rPr>
                <w:rFonts w:ascii="Calibri" w:eastAsia="Calibri" w:hAnsi="Calibri" w:cs="Arial"/>
                <w:sz w:val="20"/>
                <w:szCs w:val="20"/>
              </w:rPr>
              <w:t xml:space="preserve">review  </w:t>
            </w:r>
            <w:r w:rsidRPr="005038FB">
              <w:rPr>
                <w:rFonts w:ascii="Calibri" w:eastAsia="Calibri" w:hAnsi="Calibri" w:cs="Arial"/>
                <w:noProof/>
                <w:sz w:val="20"/>
                <w:szCs w:val="20"/>
                <w:vertAlign w:val="superscript"/>
              </w:rPr>
              <w:t>41</w:t>
            </w:r>
            <w:proofErr w:type="gramEnd"/>
            <w:r w:rsidRPr="00B161C7">
              <w:rPr>
                <w:rFonts w:ascii="Calibri" w:eastAsia="Calibri" w:hAnsi="Calibri" w:cs="Arial"/>
                <w:sz w:val="20"/>
                <w:szCs w:val="20"/>
              </w:rPr>
              <w:t xml:space="preserve">. Further, clinicians should be aware of factors that influence post-rotator cuff surgery recovery such as age, rotator cuff atrophy and fat degeneration on MRI, body mass index, compensation status, psychosocial factors and duration of complaints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w:t>
            </w:r>
          </w:p>
          <w:p w14:paraId="21101832" w14:textId="77777777" w:rsidR="00AB3A3C" w:rsidRPr="00B161C7" w:rsidRDefault="00AB3A3C" w:rsidP="00D35636">
            <w:pPr>
              <w:spacing w:after="0" w:line="240" w:lineRule="auto"/>
              <w:rPr>
                <w:rFonts w:ascii="Calibri" w:eastAsia="Calibri" w:hAnsi="Calibri" w:cs="Arial"/>
                <w:sz w:val="20"/>
                <w:szCs w:val="20"/>
              </w:rPr>
            </w:pPr>
          </w:p>
          <w:p w14:paraId="017D05BE" w14:textId="77777777" w:rsidR="00AB3A3C" w:rsidRPr="00B161C7" w:rsidRDefault="00AB3A3C" w:rsidP="00D35636">
            <w:pPr>
              <w:spacing w:after="0" w:line="240" w:lineRule="auto"/>
              <w:contextualSpacing/>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3451F9C1" w14:textId="77777777" w:rsidR="00AB3A3C" w:rsidRPr="00B161C7" w:rsidRDefault="00AB3A3C" w:rsidP="00AB3A3C">
            <w:pPr>
              <w:numPr>
                <w:ilvl w:val="0"/>
                <w:numId w:val="6"/>
              </w:numPr>
              <w:spacing w:after="0" w:line="240" w:lineRule="auto"/>
              <w:contextualSpacing/>
              <w:rPr>
                <w:rFonts w:ascii="Calibri" w:eastAsia="Calibri" w:hAnsi="Calibri" w:cs="Times New Roman"/>
                <w:sz w:val="20"/>
                <w:szCs w:val="20"/>
                <w:highlight w:val="yellow"/>
              </w:rPr>
            </w:pPr>
            <w:r w:rsidRPr="00B161C7">
              <w:rPr>
                <w:rFonts w:ascii="Calibri" w:eastAsia="Calibri" w:hAnsi="Calibri" w:cs="Times New Roman"/>
                <w:sz w:val="20"/>
                <w:szCs w:val="20"/>
                <w:highlight w:val="yellow"/>
              </w:rPr>
              <w:t>Unless specifically indicated (e.g. red flag condition), offer evidence-informed non-surgical care prior to surgery.</w:t>
            </w:r>
          </w:p>
          <w:p w14:paraId="47E72FA4" w14:textId="77777777" w:rsidR="00AB3A3C" w:rsidRPr="00B161C7" w:rsidRDefault="00AB3A3C" w:rsidP="00D35636">
            <w:pPr>
              <w:spacing w:after="0" w:line="240" w:lineRule="auto"/>
              <w:rPr>
                <w:rFonts w:ascii="Calibri" w:eastAsia="Calibri" w:hAnsi="Calibri" w:cs="Arial"/>
                <w:sz w:val="20"/>
                <w:szCs w:val="20"/>
                <w:highlight w:val="yellow"/>
              </w:rPr>
            </w:pPr>
          </w:p>
          <w:p w14:paraId="0B1B7359"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14:paraId="3724C126"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OA:</w:t>
            </w:r>
          </w:p>
          <w:p w14:paraId="1812A1E7" w14:textId="77777777"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Knee arthroscopic lavage and debridement for knee OA should not be used unless there is a rationale (such as mechanical knee locking). </w:t>
            </w:r>
          </w:p>
          <w:p w14:paraId="1DD9DF41"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LBP:</w:t>
            </w:r>
          </w:p>
          <w:p w14:paraId="4A568D44" w14:textId="77777777"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 xml:space="preserve">Disc replacement for LBP should not be offered. </w:t>
            </w:r>
          </w:p>
          <w:p w14:paraId="75763C92" w14:textId="77777777" w:rsidR="00AB3A3C" w:rsidRPr="00B161C7" w:rsidRDefault="00AB3A3C" w:rsidP="00AB3A3C">
            <w:pPr>
              <w:numPr>
                <w:ilvl w:val="0"/>
                <w:numId w:val="2"/>
              </w:numPr>
              <w:spacing w:after="0" w:line="240" w:lineRule="auto"/>
              <w:contextualSpacing/>
              <w:rPr>
                <w:rFonts w:ascii="Calibri" w:eastAsia="Calibri" w:hAnsi="Calibri" w:cs="Arial"/>
                <w:sz w:val="20"/>
                <w:szCs w:val="20"/>
                <w:highlight w:val="green"/>
              </w:rPr>
            </w:pPr>
            <w:r w:rsidRPr="00B161C7">
              <w:rPr>
                <w:rFonts w:ascii="Calibri" w:eastAsia="Calibri" w:hAnsi="Calibri" w:cs="Arial"/>
                <w:sz w:val="20"/>
                <w:szCs w:val="20"/>
                <w:highlight w:val="green"/>
              </w:rPr>
              <w:t>Spinal fusion should only be considered if part of a randomised controlled trial.</w:t>
            </w:r>
          </w:p>
          <w:p w14:paraId="53FEA932" w14:textId="77777777" w:rsidR="00AB3A3C" w:rsidRPr="00B161C7" w:rsidRDefault="00AB3A3C" w:rsidP="00D35636">
            <w:pPr>
              <w:spacing w:after="0" w:line="240" w:lineRule="auto"/>
              <w:rPr>
                <w:rFonts w:ascii="Calibri" w:eastAsia="Calibri" w:hAnsi="Calibri" w:cs="Arial"/>
                <w:sz w:val="20"/>
                <w:szCs w:val="20"/>
              </w:rPr>
            </w:pPr>
          </w:p>
          <w:p w14:paraId="6BADBC40" w14:textId="77777777" w:rsidR="00AB3A3C" w:rsidRPr="00B161C7" w:rsidRDefault="00AB3A3C" w:rsidP="00D35636">
            <w:pPr>
              <w:spacing w:after="0" w:line="240" w:lineRule="auto"/>
              <w:rPr>
                <w:rFonts w:ascii="Calibri" w:eastAsia="Calibri" w:hAnsi="Calibri" w:cs="Arial"/>
                <w:sz w:val="20"/>
                <w:szCs w:val="20"/>
                <w:u w:val="single"/>
              </w:rPr>
            </w:pPr>
            <w:r w:rsidRPr="00B161C7">
              <w:rPr>
                <w:rFonts w:ascii="Calibri" w:eastAsia="Calibri" w:hAnsi="Calibri" w:cs="Arial"/>
                <w:sz w:val="20"/>
                <w:szCs w:val="20"/>
                <w:u w:val="single"/>
              </w:rPr>
              <w:t xml:space="preserve">Injections </w:t>
            </w:r>
          </w:p>
          <w:p w14:paraId="031BE25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OA, two CPGs recommended considering intra-articular corticosteroid injection for knee OA </w:t>
            </w:r>
            <w:r w:rsidRPr="005038FB">
              <w:rPr>
                <w:rFonts w:ascii="Calibri" w:eastAsia="Calibri" w:hAnsi="Calibri" w:cs="Arial"/>
                <w:noProof/>
                <w:sz w:val="20"/>
                <w:szCs w:val="20"/>
                <w:vertAlign w:val="superscript"/>
              </w:rPr>
              <w:t>42 45</w:t>
            </w:r>
            <w:r w:rsidRPr="00B161C7">
              <w:rPr>
                <w:rFonts w:ascii="Calibri" w:eastAsia="Calibri" w:hAnsi="Calibri" w:cs="Arial"/>
                <w:sz w:val="20"/>
                <w:szCs w:val="20"/>
              </w:rPr>
              <w:t xml:space="preserve"> whilst one CPG was uncertain </w:t>
            </w:r>
            <w:r w:rsidRPr="005038FB">
              <w:rPr>
                <w:rFonts w:ascii="Calibri" w:eastAsia="Calibri" w:hAnsi="Calibri" w:cs="Arial"/>
                <w:noProof/>
                <w:sz w:val="20"/>
                <w:szCs w:val="20"/>
                <w:vertAlign w:val="superscript"/>
              </w:rPr>
              <w:t>39</w:t>
            </w:r>
            <w:r w:rsidRPr="00B161C7">
              <w:rPr>
                <w:rFonts w:ascii="Calibri" w:eastAsia="Calibri" w:hAnsi="Calibri" w:cs="Arial"/>
                <w:sz w:val="20"/>
                <w:szCs w:val="20"/>
              </w:rPr>
              <w:t xml:space="preserve">. Two CPGs recommended against intra-articular injection of hyaluronic acid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and one was uncertain for single joint knee OA (not recommended for multiple joint OA)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w:t>
            </w:r>
          </w:p>
          <w:p w14:paraId="5FC68CC0" w14:textId="77777777" w:rsidR="00AB3A3C" w:rsidRPr="00B161C7" w:rsidRDefault="00AB3A3C" w:rsidP="00D35636">
            <w:pPr>
              <w:spacing w:after="0" w:line="240" w:lineRule="auto"/>
              <w:rPr>
                <w:rFonts w:ascii="Calibri" w:eastAsia="Calibri" w:hAnsi="Calibri" w:cs="Arial"/>
                <w:sz w:val="20"/>
                <w:szCs w:val="20"/>
              </w:rPr>
            </w:pPr>
          </w:p>
          <w:p w14:paraId="5F129298"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For LBP, two CPGs strongly recommended against spinal injections for LBP; including facet joint injections, medical branch blocks, intradiscal injections, prolotherapy and trigger point injections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same CPGs offered a weak a recommendation for epidural injection of local anaesthetic and steroid for acute, severe radicular pain, whereas the Danish CPG provided a weak recommendation against this procedure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Two CPGs provided a weak recommendation for radiofrequency denervation for persistent LBP for moderate to severe pain, when there is a positive response to medial branch block, and a lack of improvement following conservative care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The NICE CPG recommended against epidural injections for neurogenic claudication in people who have central spinal canal stenosis </w:t>
            </w:r>
            <w:r w:rsidRPr="005038FB">
              <w:rPr>
                <w:rFonts w:ascii="Calibri" w:eastAsia="Calibri" w:hAnsi="Calibri" w:cs="Arial"/>
                <w:noProof/>
                <w:sz w:val="20"/>
                <w:szCs w:val="20"/>
                <w:vertAlign w:val="superscript"/>
              </w:rPr>
              <w:t>35</w:t>
            </w:r>
            <w:r w:rsidRPr="00B161C7">
              <w:rPr>
                <w:rFonts w:ascii="Calibri" w:eastAsia="Calibri" w:hAnsi="Calibri" w:cs="Arial"/>
                <w:sz w:val="20"/>
                <w:szCs w:val="20"/>
              </w:rPr>
              <w:t xml:space="preserve">. </w:t>
            </w:r>
          </w:p>
          <w:p w14:paraId="668EB0D3" w14:textId="77777777" w:rsidR="00AB3A3C" w:rsidRPr="00B161C7" w:rsidRDefault="00AB3A3C" w:rsidP="00D35636">
            <w:pPr>
              <w:spacing w:after="0" w:line="240" w:lineRule="auto"/>
              <w:rPr>
                <w:rFonts w:ascii="Calibri" w:eastAsia="Calibri" w:hAnsi="Calibri" w:cs="Arial"/>
                <w:sz w:val="20"/>
                <w:szCs w:val="20"/>
              </w:rPr>
            </w:pPr>
          </w:p>
          <w:p w14:paraId="0B22862B"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One neck pain CPG recommended against botulinum toxin injections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For rotator cuff disorders one CPG recommended consideration of subacromial corticosteroid injection with local anaesthetic, administered by suitably skilled clinicians, after the risks and benefits have been explained, with no more than two administered if there is no clinical improvement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w:t>
            </w:r>
          </w:p>
          <w:p w14:paraId="4681C83B" w14:textId="77777777" w:rsidR="00AB3A3C" w:rsidRPr="00B161C7" w:rsidRDefault="00AB3A3C" w:rsidP="00D35636">
            <w:pPr>
              <w:spacing w:after="0" w:line="240" w:lineRule="auto"/>
              <w:rPr>
                <w:rFonts w:ascii="Calibri" w:eastAsia="Calibri" w:hAnsi="Calibri" w:cs="Arial"/>
                <w:sz w:val="20"/>
                <w:szCs w:val="20"/>
              </w:rPr>
            </w:pPr>
          </w:p>
          <w:p w14:paraId="7BEB6A81" w14:textId="77777777" w:rsidR="00AB3A3C" w:rsidRPr="00B161C7" w:rsidRDefault="00AB3A3C" w:rsidP="00D35636">
            <w:pPr>
              <w:spacing w:after="0" w:line="240" w:lineRule="auto"/>
              <w:rPr>
                <w:rFonts w:ascii="Calibri" w:eastAsia="Calibri" w:hAnsi="Calibri" w:cs="Arial"/>
                <w:sz w:val="20"/>
                <w:szCs w:val="20"/>
                <w:highlight w:val="green"/>
              </w:rPr>
            </w:pPr>
            <w:r w:rsidRPr="00B161C7">
              <w:rPr>
                <w:rFonts w:ascii="Calibri" w:eastAsia="Calibri" w:hAnsi="Calibri" w:cs="Arial"/>
                <w:sz w:val="20"/>
                <w:szCs w:val="20"/>
                <w:highlight w:val="green"/>
              </w:rPr>
              <w:t xml:space="preserve">Consensus for one MSK pain condition: </w:t>
            </w:r>
          </w:p>
          <w:p w14:paraId="1161C65C" w14:textId="77777777" w:rsidR="00AB3A3C" w:rsidRPr="00B161C7" w:rsidRDefault="00AB3A3C" w:rsidP="00AB3A3C">
            <w:pPr>
              <w:numPr>
                <w:ilvl w:val="0"/>
                <w:numId w:val="7"/>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green"/>
              </w:rPr>
              <w:t>Spinal injections should not be used for LBP.</w:t>
            </w:r>
          </w:p>
          <w:p w14:paraId="6F0375AF"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67C12DA1" w14:textId="77777777" w:rsidTr="00D35636">
        <w:tc>
          <w:tcPr>
            <w:tcW w:w="811" w:type="pct"/>
          </w:tcPr>
          <w:p w14:paraId="4CA4D9DD"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Complementary medicine: Acupuncture</w:t>
            </w:r>
          </w:p>
          <w:p w14:paraId="6B46DF1B" w14:textId="77777777" w:rsidR="00AB3A3C" w:rsidRPr="00B161C7" w:rsidRDefault="00AB3A3C" w:rsidP="00D35636">
            <w:pPr>
              <w:spacing w:after="0" w:line="240" w:lineRule="auto"/>
              <w:rPr>
                <w:rFonts w:ascii="Calibri" w:eastAsia="Calibri" w:hAnsi="Calibri" w:cs="Arial"/>
                <w:sz w:val="20"/>
                <w:szCs w:val="20"/>
              </w:rPr>
            </w:pPr>
          </w:p>
        </w:tc>
        <w:tc>
          <w:tcPr>
            <w:tcW w:w="4189" w:type="pct"/>
          </w:tcPr>
          <w:p w14:paraId="18E9F743"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The majority of CPGs recommended against acupuncture, including for OA </w:t>
            </w:r>
            <w:r w:rsidRPr="005038FB">
              <w:rPr>
                <w:rFonts w:ascii="Calibri" w:eastAsia="Calibri" w:hAnsi="Calibri" w:cs="Arial"/>
                <w:noProof/>
                <w:sz w:val="20"/>
                <w:szCs w:val="20"/>
                <w:vertAlign w:val="superscript"/>
              </w:rPr>
              <w:t>39 45</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35 40</w:t>
            </w:r>
            <w:r w:rsidRPr="00B161C7">
              <w:rPr>
                <w:rFonts w:ascii="Calibri" w:eastAsia="Calibri" w:hAnsi="Calibri" w:cs="Arial"/>
                <w:sz w:val="20"/>
                <w:szCs w:val="20"/>
              </w:rPr>
              <w:t xml:space="preserve">. One CPG for LBP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and one for OA were uncertain </w:t>
            </w:r>
            <w:r w:rsidRPr="005038FB">
              <w:rPr>
                <w:rFonts w:ascii="Calibri" w:eastAsia="Calibri" w:hAnsi="Calibri" w:cs="Arial"/>
                <w:noProof/>
                <w:sz w:val="20"/>
                <w:szCs w:val="20"/>
                <w:vertAlign w:val="superscript"/>
              </w:rPr>
              <w:t>42</w:t>
            </w:r>
            <w:r w:rsidRPr="00B161C7">
              <w:rPr>
                <w:rFonts w:ascii="Calibri" w:eastAsia="Calibri" w:hAnsi="Calibri" w:cs="Arial"/>
                <w:sz w:val="20"/>
                <w:szCs w:val="20"/>
              </w:rPr>
              <w:t xml:space="preserve">. Two CPGs recommended considering acupuncture as part of multimodal care; with exercise for rotator cuff disorders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or in addition to spinal manipulation and a range of other possible interventions in the treatment of LBP </w:t>
            </w:r>
            <w:r w:rsidRPr="005038FB">
              <w:rPr>
                <w:rFonts w:ascii="Calibri" w:eastAsia="Calibri" w:hAnsi="Calibri" w:cs="Arial"/>
                <w:noProof/>
                <w:sz w:val="20"/>
                <w:szCs w:val="20"/>
                <w:vertAlign w:val="superscript"/>
              </w:rPr>
              <w:t>37</w:t>
            </w:r>
            <w:r w:rsidRPr="00B161C7">
              <w:rPr>
                <w:rFonts w:ascii="Calibri" w:eastAsia="Calibri" w:hAnsi="Calibri" w:cs="Arial"/>
                <w:sz w:val="20"/>
                <w:szCs w:val="20"/>
              </w:rPr>
              <w:t xml:space="preserve">. </w:t>
            </w:r>
          </w:p>
          <w:p w14:paraId="62BF80E8" w14:textId="77777777" w:rsidR="00AB3A3C" w:rsidRPr="00B161C7" w:rsidRDefault="00AB3A3C" w:rsidP="00D35636">
            <w:pPr>
              <w:spacing w:after="0" w:line="240" w:lineRule="auto"/>
              <w:rPr>
                <w:rFonts w:ascii="Calibri" w:eastAsia="Calibri" w:hAnsi="Calibri" w:cs="Arial"/>
                <w:sz w:val="20"/>
                <w:szCs w:val="20"/>
              </w:rPr>
            </w:pPr>
          </w:p>
        </w:tc>
      </w:tr>
      <w:tr w:rsidR="00AB3A3C" w:rsidRPr="00B161C7" w14:paraId="160A8940" w14:textId="77777777" w:rsidTr="00D35636">
        <w:tc>
          <w:tcPr>
            <w:tcW w:w="811" w:type="pct"/>
          </w:tcPr>
          <w:p w14:paraId="79006229"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MSK pain and work </w:t>
            </w:r>
          </w:p>
        </w:tc>
        <w:tc>
          <w:tcPr>
            <w:tcW w:w="4189" w:type="pct"/>
          </w:tcPr>
          <w:p w14:paraId="1EC2B595" w14:textId="77777777" w:rsidR="00AB3A3C" w:rsidRPr="00B161C7" w:rsidRDefault="00AB3A3C" w:rsidP="00D35636">
            <w:pPr>
              <w:spacing w:after="0" w:line="240" w:lineRule="auto"/>
              <w:rPr>
                <w:rFonts w:ascii="Calibri" w:eastAsia="Calibri" w:hAnsi="Calibri" w:cs="Arial"/>
                <w:sz w:val="20"/>
                <w:szCs w:val="20"/>
              </w:rPr>
            </w:pPr>
            <w:r w:rsidRPr="00B161C7">
              <w:rPr>
                <w:rFonts w:ascii="Calibri" w:eastAsia="Calibri" w:hAnsi="Calibri" w:cs="Arial"/>
                <w:sz w:val="20"/>
                <w:szCs w:val="20"/>
              </w:rPr>
              <w:t xml:space="preserve">Seven CPGs included recommendations relevant to MSK pain and work, one of which specifically targeted the management of rotator cuff syndrome in the workplace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Five CPGs offered a ‘should do’ recommendation for engagement or continuation of work for patients with MSK pain, including neck pain </w:t>
            </w:r>
            <w:r w:rsidRPr="005038FB">
              <w:rPr>
                <w:rFonts w:ascii="Calibri" w:eastAsia="Calibri" w:hAnsi="Calibri" w:cs="Arial"/>
                <w:noProof/>
                <w:sz w:val="20"/>
                <w:szCs w:val="20"/>
                <w:vertAlign w:val="superscript"/>
              </w:rPr>
              <w:t>34</w:t>
            </w:r>
            <w:r w:rsidRPr="00B161C7">
              <w:rPr>
                <w:rFonts w:ascii="Calibri" w:eastAsia="Calibri" w:hAnsi="Calibri" w:cs="Arial"/>
                <w:sz w:val="20"/>
                <w:szCs w:val="20"/>
              </w:rPr>
              <w:t xml:space="preserve">, OA </w:t>
            </w:r>
            <w:r w:rsidRPr="005038FB">
              <w:rPr>
                <w:rFonts w:ascii="Calibri" w:eastAsia="Calibri" w:hAnsi="Calibri" w:cs="Arial"/>
                <w:noProof/>
                <w:sz w:val="20"/>
                <w:szCs w:val="20"/>
                <w:vertAlign w:val="superscript"/>
              </w:rPr>
              <w:t>36</w:t>
            </w:r>
            <w:r w:rsidRPr="00B161C7">
              <w:rPr>
                <w:rFonts w:ascii="Calibri" w:eastAsia="Calibri" w:hAnsi="Calibri" w:cs="Arial"/>
                <w:sz w:val="20"/>
                <w:szCs w:val="20"/>
              </w:rPr>
              <w:t xml:space="preserve">, rotator cuff syndrome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and LBP </w:t>
            </w:r>
            <w:r w:rsidRPr="005038FB">
              <w:rPr>
                <w:rFonts w:ascii="Calibri" w:eastAsia="Calibri" w:hAnsi="Calibri" w:cs="Arial"/>
                <w:noProof/>
                <w:sz w:val="20"/>
                <w:szCs w:val="20"/>
                <w:vertAlign w:val="superscript"/>
              </w:rPr>
              <w:t>35 38</w:t>
            </w:r>
            <w:r w:rsidRPr="00B161C7">
              <w:rPr>
                <w:rFonts w:ascii="Calibri" w:eastAsia="Calibri" w:hAnsi="Calibri" w:cs="Arial"/>
                <w:sz w:val="20"/>
                <w:szCs w:val="20"/>
              </w:rPr>
              <w:t xml:space="preserve">. One CPG for LBP offered a ‘could do’ recommendation to advice patients to stay active, avoid inactivity and gradually increase activity levels, including work involvement </w:t>
            </w:r>
            <w:r w:rsidRPr="005038FB">
              <w:rPr>
                <w:rFonts w:ascii="Calibri" w:eastAsia="Calibri" w:hAnsi="Calibri" w:cs="Arial"/>
                <w:noProof/>
                <w:sz w:val="20"/>
                <w:szCs w:val="20"/>
                <w:vertAlign w:val="superscript"/>
              </w:rPr>
              <w:t>40</w:t>
            </w:r>
            <w:r w:rsidRPr="00B161C7">
              <w:rPr>
                <w:rFonts w:ascii="Calibri" w:eastAsia="Calibri" w:hAnsi="Calibri" w:cs="Arial"/>
                <w:sz w:val="20"/>
                <w:szCs w:val="20"/>
              </w:rPr>
              <w:t xml:space="preserve">.  Three CPGs emphasised early return to work </w:t>
            </w:r>
            <w:r w:rsidRPr="005038FB">
              <w:rPr>
                <w:rFonts w:ascii="Calibri" w:eastAsia="Calibri" w:hAnsi="Calibri" w:cs="Arial"/>
                <w:noProof/>
                <w:sz w:val="20"/>
                <w:szCs w:val="20"/>
                <w:vertAlign w:val="superscript"/>
              </w:rPr>
              <w:t>38</w:t>
            </w:r>
            <w:r w:rsidRPr="00B161C7">
              <w:rPr>
                <w:rFonts w:ascii="Calibri" w:eastAsia="Calibri" w:hAnsi="Calibri" w:cs="Arial"/>
                <w:sz w:val="20"/>
                <w:szCs w:val="20"/>
              </w:rPr>
              <w:t xml:space="preserve"> including engagement of vocational rehabilitations services, communication between worker, employer and health provider, and planning processes to facilitate return to work </w:t>
            </w:r>
            <w:r w:rsidRPr="005038FB">
              <w:rPr>
                <w:rFonts w:ascii="Calibri" w:eastAsia="Calibri" w:hAnsi="Calibri" w:cs="Arial"/>
                <w:noProof/>
                <w:sz w:val="20"/>
                <w:szCs w:val="20"/>
                <w:vertAlign w:val="superscript"/>
              </w:rPr>
              <w:t>41</w:t>
            </w:r>
            <w:r w:rsidRPr="00B161C7">
              <w:rPr>
                <w:rFonts w:ascii="Calibri" w:eastAsia="Calibri" w:hAnsi="Calibri" w:cs="Arial"/>
                <w:sz w:val="20"/>
                <w:szCs w:val="20"/>
              </w:rPr>
              <w:t xml:space="preserve">. One another CPG included workers with injuries, although recommendations were only made in relation to specific questions about the efficacy of interventions for workers e.g. comparing supervised and unsupervised high intensity strength training versus only advice for workers with persistent neck and shoulder pain </w:t>
            </w:r>
            <w:r w:rsidRPr="005038FB">
              <w:rPr>
                <w:rFonts w:ascii="Calibri" w:eastAsia="Calibri" w:hAnsi="Calibri" w:cs="Arial"/>
                <w:noProof/>
                <w:sz w:val="20"/>
                <w:szCs w:val="20"/>
                <w:vertAlign w:val="superscript"/>
              </w:rPr>
              <w:t>33</w:t>
            </w:r>
            <w:r w:rsidRPr="00B161C7">
              <w:rPr>
                <w:rFonts w:ascii="Calibri" w:eastAsia="Calibri" w:hAnsi="Calibri" w:cs="Arial"/>
                <w:sz w:val="20"/>
                <w:szCs w:val="20"/>
              </w:rPr>
              <w:t xml:space="preserve">. </w:t>
            </w:r>
          </w:p>
          <w:p w14:paraId="2EBCE42E" w14:textId="77777777" w:rsidR="00AB3A3C" w:rsidRPr="00B161C7" w:rsidRDefault="00AB3A3C" w:rsidP="00D35636">
            <w:pPr>
              <w:spacing w:after="0" w:line="240" w:lineRule="auto"/>
              <w:rPr>
                <w:rFonts w:ascii="Calibri" w:eastAsia="Calibri" w:hAnsi="Calibri" w:cs="Arial"/>
                <w:sz w:val="20"/>
                <w:szCs w:val="20"/>
              </w:rPr>
            </w:pPr>
          </w:p>
          <w:p w14:paraId="1F8A8464" w14:textId="77777777" w:rsidR="00AB3A3C" w:rsidRPr="00B161C7" w:rsidRDefault="00AB3A3C" w:rsidP="00D35636">
            <w:pPr>
              <w:spacing w:after="0" w:line="240" w:lineRule="auto"/>
              <w:rPr>
                <w:rFonts w:ascii="Calibri" w:eastAsia="Calibri" w:hAnsi="Calibri" w:cs="Arial"/>
                <w:sz w:val="20"/>
                <w:szCs w:val="20"/>
                <w:highlight w:val="yellow"/>
              </w:rPr>
            </w:pPr>
            <w:r w:rsidRPr="00B161C7">
              <w:rPr>
                <w:rFonts w:ascii="Calibri" w:eastAsia="Calibri" w:hAnsi="Calibri" w:cs="Arial"/>
                <w:sz w:val="20"/>
                <w:szCs w:val="20"/>
                <w:highlight w:val="yellow"/>
              </w:rPr>
              <w:t xml:space="preserve">Consensus across MSK pain conditions: </w:t>
            </w:r>
          </w:p>
          <w:p w14:paraId="2005B557" w14:textId="77777777" w:rsidR="00AB3A3C" w:rsidRPr="00B161C7" w:rsidRDefault="00AB3A3C" w:rsidP="00AB3A3C">
            <w:pPr>
              <w:numPr>
                <w:ilvl w:val="0"/>
                <w:numId w:val="7"/>
              </w:numPr>
              <w:spacing w:after="0" w:line="240" w:lineRule="auto"/>
              <w:contextualSpacing/>
              <w:rPr>
                <w:rFonts w:ascii="Calibri" w:eastAsia="Calibri" w:hAnsi="Calibri" w:cs="Arial"/>
                <w:sz w:val="20"/>
                <w:szCs w:val="20"/>
              </w:rPr>
            </w:pPr>
            <w:r w:rsidRPr="00B161C7">
              <w:rPr>
                <w:rFonts w:ascii="Calibri" w:eastAsia="Calibri" w:hAnsi="Calibri" w:cs="Arial"/>
                <w:sz w:val="20"/>
                <w:szCs w:val="20"/>
                <w:highlight w:val="yellow"/>
              </w:rPr>
              <w:t>Facilitate continuation or resumption of work.</w:t>
            </w:r>
          </w:p>
        </w:tc>
      </w:tr>
    </w:tbl>
    <w:p w14:paraId="2D400A08" w14:textId="77777777" w:rsidR="00AB3A3C" w:rsidRPr="00B161C7" w:rsidRDefault="00AB3A3C" w:rsidP="00AB3A3C">
      <w:pPr>
        <w:spacing w:after="160" w:line="259" w:lineRule="auto"/>
        <w:rPr>
          <w:rFonts w:ascii="Calibri" w:eastAsia="Calibri" w:hAnsi="Calibri" w:cs="Arial"/>
        </w:rPr>
      </w:pPr>
    </w:p>
    <w:p w14:paraId="0CCDAE13" w14:textId="77777777" w:rsidR="009F2015" w:rsidRDefault="009F2015"/>
    <w:sectPr w:rsidR="009F2015" w:rsidSect="00AB3A3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42AC9"/>
    <w:multiLevelType w:val="hybridMultilevel"/>
    <w:tmpl w:val="2696B2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25C576A"/>
    <w:multiLevelType w:val="hybridMultilevel"/>
    <w:tmpl w:val="7ED2B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6F24C30"/>
    <w:multiLevelType w:val="hybridMultilevel"/>
    <w:tmpl w:val="1F486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4A4901"/>
    <w:multiLevelType w:val="hybridMultilevel"/>
    <w:tmpl w:val="8B2A3B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15F292F"/>
    <w:multiLevelType w:val="hybridMultilevel"/>
    <w:tmpl w:val="FF46C4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45B079A"/>
    <w:multiLevelType w:val="hybridMultilevel"/>
    <w:tmpl w:val="7D1E4890"/>
    <w:lvl w:ilvl="0" w:tplc="0C09001B">
      <w:start w:val="1"/>
      <w:numFmt w:val="lowerRoman"/>
      <w:lvlText w:val="%1."/>
      <w:lvlJc w:val="right"/>
      <w:pPr>
        <w:ind w:left="720" w:hanging="360"/>
      </w:pPr>
      <w:rPr>
        <w:rFonts w:hint="default"/>
      </w:rPr>
    </w:lvl>
    <w:lvl w:ilvl="1" w:tplc="0C09001B">
      <w:start w:val="1"/>
      <w:numFmt w:val="lowerRoman"/>
      <w:lvlText w:val="%2."/>
      <w:lvlJc w:val="righ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2413C5"/>
    <w:multiLevelType w:val="hybridMultilevel"/>
    <w:tmpl w:val="52ACF7A6"/>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2778436">
    <w:abstractNumId w:val="6"/>
  </w:num>
  <w:num w:numId="2" w16cid:durableId="393046565">
    <w:abstractNumId w:val="2"/>
  </w:num>
  <w:num w:numId="3" w16cid:durableId="2024814413">
    <w:abstractNumId w:val="4"/>
  </w:num>
  <w:num w:numId="4" w16cid:durableId="621231603">
    <w:abstractNumId w:val="1"/>
  </w:num>
  <w:num w:numId="5" w16cid:durableId="301927027">
    <w:abstractNumId w:val="5"/>
  </w:num>
  <w:num w:numId="6" w16cid:durableId="1653636341">
    <w:abstractNumId w:val="3"/>
  </w:num>
  <w:num w:numId="7" w16cid:durableId="78422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81"/>
    <w:rsid w:val="00001D24"/>
    <w:rsid w:val="00002551"/>
    <w:rsid w:val="00002813"/>
    <w:rsid w:val="000053F0"/>
    <w:rsid w:val="00005550"/>
    <w:rsid w:val="00006BE6"/>
    <w:rsid w:val="00010DC9"/>
    <w:rsid w:val="00010E86"/>
    <w:rsid w:val="00011559"/>
    <w:rsid w:val="000138F0"/>
    <w:rsid w:val="00013A31"/>
    <w:rsid w:val="00014F63"/>
    <w:rsid w:val="00015160"/>
    <w:rsid w:val="00015A44"/>
    <w:rsid w:val="00016CDA"/>
    <w:rsid w:val="00017A88"/>
    <w:rsid w:val="0002053E"/>
    <w:rsid w:val="000227ED"/>
    <w:rsid w:val="00022A2A"/>
    <w:rsid w:val="00023DA3"/>
    <w:rsid w:val="0002421A"/>
    <w:rsid w:val="00024A28"/>
    <w:rsid w:val="00025B3C"/>
    <w:rsid w:val="00027B63"/>
    <w:rsid w:val="000311E3"/>
    <w:rsid w:val="00032D41"/>
    <w:rsid w:val="000338DB"/>
    <w:rsid w:val="000344EB"/>
    <w:rsid w:val="000346D6"/>
    <w:rsid w:val="00034942"/>
    <w:rsid w:val="00035234"/>
    <w:rsid w:val="000408E6"/>
    <w:rsid w:val="00041013"/>
    <w:rsid w:val="000420BB"/>
    <w:rsid w:val="000425D3"/>
    <w:rsid w:val="00044039"/>
    <w:rsid w:val="00044B4D"/>
    <w:rsid w:val="00044D42"/>
    <w:rsid w:val="00044E13"/>
    <w:rsid w:val="00045097"/>
    <w:rsid w:val="00045830"/>
    <w:rsid w:val="00051A64"/>
    <w:rsid w:val="00052E75"/>
    <w:rsid w:val="000532E4"/>
    <w:rsid w:val="00053A10"/>
    <w:rsid w:val="00054043"/>
    <w:rsid w:val="00055D0A"/>
    <w:rsid w:val="000562F6"/>
    <w:rsid w:val="000626F4"/>
    <w:rsid w:val="00062B21"/>
    <w:rsid w:val="00062CBB"/>
    <w:rsid w:val="00066018"/>
    <w:rsid w:val="0006630F"/>
    <w:rsid w:val="000672B9"/>
    <w:rsid w:val="0006764C"/>
    <w:rsid w:val="00072908"/>
    <w:rsid w:val="00072E91"/>
    <w:rsid w:val="0007305D"/>
    <w:rsid w:val="00073543"/>
    <w:rsid w:val="00074CB5"/>
    <w:rsid w:val="00075050"/>
    <w:rsid w:val="000761AF"/>
    <w:rsid w:val="00076625"/>
    <w:rsid w:val="00080BB4"/>
    <w:rsid w:val="00080EF2"/>
    <w:rsid w:val="000814B4"/>
    <w:rsid w:val="00082923"/>
    <w:rsid w:val="00083F7C"/>
    <w:rsid w:val="00084546"/>
    <w:rsid w:val="000845E3"/>
    <w:rsid w:val="00084D9C"/>
    <w:rsid w:val="00085A3E"/>
    <w:rsid w:val="00085B43"/>
    <w:rsid w:val="00085E53"/>
    <w:rsid w:val="0008607A"/>
    <w:rsid w:val="000865F8"/>
    <w:rsid w:val="00086A86"/>
    <w:rsid w:val="00087176"/>
    <w:rsid w:val="0008788B"/>
    <w:rsid w:val="00087F4E"/>
    <w:rsid w:val="00091FB1"/>
    <w:rsid w:val="0009599F"/>
    <w:rsid w:val="00096491"/>
    <w:rsid w:val="00097EDC"/>
    <w:rsid w:val="000A026A"/>
    <w:rsid w:val="000A115F"/>
    <w:rsid w:val="000A368E"/>
    <w:rsid w:val="000A36D7"/>
    <w:rsid w:val="000A3CF1"/>
    <w:rsid w:val="000A411C"/>
    <w:rsid w:val="000A426A"/>
    <w:rsid w:val="000A42F4"/>
    <w:rsid w:val="000A43EB"/>
    <w:rsid w:val="000A46A8"/>
    <w:rsid w:val="000A47A5"/>
    <w:rsid w:val="000A4D8D"/>
    <w:rsid w:val="000A5BAD"/>
    <w:rsid w:val="000A6D46"/>
    <w:rsid w:val="000A7025"/>
    <w:rsid w:val="000A7039"/>
    <w:rsid w:val="000A752A"/>
    <w:rsid w:val="000A7E5B"/>
    <w:rsid w:val="000B0422"/>
    <w:rsid w:val="000B152B"/>
    <w:rsid w:val="000B3085"/>
    <w:rsid w:val="000B3D8E"/>
    <w:rsid w:val="000B4016"/>
    <w:rsid w:val="000B43A6"/>
    <w:rsid w:val="000B4D3F"/>
    <w:rsid w:val="000B73C1"/>
    <w:rsid w:val="000B76A9"/>
    <w:rsid w:val="000C0B5E"/>
    <w:rsid w:val="000C1ADC"/>
    <w:rsid w:val="000C1FA8"/>
    <w:rsid w:val="000C2394"/>
    <w:rsid w:val="000C2CFD"/>
    <w:rsid w:val="000C40AA"/>
    <w:rsid w:val="000D0DCD"/>
    <w:rsid w:val="000D2434"/>
    <w:rsid w:val="000D2961"/>
    <w:rsid w:val="000D2D3C"/>
    <w:rsid w:val="000D2E5D"/>
    <w:rsid w:val="000D4402"/>
    <w:rsid w:val="000D4BAD"/>
    <w:rsid w:val="000D4F00"/>
    <w:rsid w:val="000D51FE"/>
    <w:rsid w:val="000D6FC7"/>
    <w:rsid w:val="000D7BBA"/>
    <w:rsid w:val="000E1F58"/>
    <w:rsid w:val="000E2BC4"/>
    <w:rsid w:val="000E2D7D"/>
    <w:rsid w:val="000E3452"/>
    <w:rsid w:val="000E3A71"/>
    <w:rsid w:val="000E405E"/>
    <w:rsid w:val="000E4142"/>
    <w:rsid w:val="000E4C49"/>
    <w:rsid w:val="000E67F9"/>
    <w:rsid w:val="000E7E81"/>
    <w:rsid w:val="000F04F9"/>
    <w:rsid w:val="000F13EC"/>
    <w:rsid w:val="000F1612"/>
    <w:rsid w:val="000F2B07"/>
    <w:rsid w:val="000F48E8"/>
    <w:rsid w:val="000F5889"/>
    <w:rsid w:val="000F66EE"/>
    <w:rsid w:val="000F6CAE"/>
    <w:rsid w:val="000F7BDD"/>
    <w:rsid w:val="001008BB"/>
    <w:rsid w:val="001029B3"/>
    <w:rsid w:val="00103101"/>
    <w:rsid w:val="001040AD"/>
    <w:rsid w:val="0010441A"/>
    <w:rsid w:val="0010450C"/>
    <w:rsid w:val="00104CA6"/>
    <w:rsid w:val="00105D41"/>
    <w:rsid w:val="001066A6"/>
    <w:rsid w:val="0010694E"/>
    <w:rsid w:val="00107423"/>
    <w:rsid w:val="00107F72"/>
    <w:rsid w:val="001134CE"/>
    <w:rsid w:val="001144FA"/>
    <w:rsid w:val="001146A3"/>
    <w:rsid w:val="001148A5"/>
    <w:rsid w:val="00115407"/>
    <w:rsid w:val="00115A78"/>
    <w:rsid w:val="0011649B"/>
    <w:rsid w:val="00117BAF"/>
    <w:rsid w:val="0012008A"/>
    <w:rsid w:val="00120A4E"/>
    <w:rsid w:val="00120E9A"/>
    <w:rsid w:val="0012193B"/>
    <w:rsid w:val="00121FBB"/>
    <w:rsid w:val="001239E5"/>
    <w:rsid w:val="00126CA7"/>
    <w:rsid w:val="00127D90"/>
    <w:rsid w:val="00131B06"/>
    <w:rsid w:val="00132458"/>
    <w:rsid w:val="00132671"/>
    <w:rsid w:val="00132AF0"/>
    <w:rsid w:val="00134692"/>
    <w:rsid w:val="00135611"/>
    <w:rsid w:val="001358D8"/>
    <w:rsid w:val="00140323"/>
    <w:rsid w:val="001420EF"/>
    <w:rsid w:val="00142952"/>
    <w:rsid w:val="00145083"/>
    <w:rsid w:val="00145DF8"/>
    <w:rsid w:val="00146635"/>
    <w:rsid w:val="00147EB3"/>
    <w:rsid w:val="00153549"/>
    <w:rsid w:val="00155617"/>
    <w:rsid w:val="00155A1F"/>
    <w:rsid w:val="00157645"/>
    <w:rsid w:val="001600C6"/>
    <w:rsid w:val="001601F7"/>
    <w:rsid w:val="0016033F"/>
    <w:rsid w:val="00161548"/>
    <w:rsid w:val="001629F3"/>
    <w:rsid w:val="001643B5"/>
    <w:rsid w:val="00164413"/>
    <w:rsid w:val="0016467E"/>
    <w:rsid w:val="00164BE9"/>
    <w:rsid w:val="00164EC8"/>
    <w:rsid w:val="00165B56"/>
    <w:rsid w:val="00170097"/>
    <w:rsid w:val="001704C7"/>
    <w:rsid w:val="001736DA"/>
    <w:rsid w:val="00173BC3"/>
    <w:rsid w:val="00173C7E"/>
    <w:rsid w:val="0017426C"/>
    <w:rsid w:val="00175FF6"/>
    <w:rsid w:val="001762BF"/>
    <w:rsid w:val="00180BC9"/>
    <w:rsid w:val="0018145E"/>
    <w:rsid w:val="00182190"/>
    <w:rsid w:val="001824A9"/>
    <w:rsid w:val="0018288F"/>
    <w:rsid w:val="00184409"/>
    <w:rsid w:val="00184FAA"/>
    <w:rsid w:val="00185385"/>
    <w:rsid w:val="001855AC"/>
    <w:rsid w:val="00187C2C"/>
    <w:rsid w:val="00190053"/>
    <w:rsid w:val="00190967"/>
    <w:rsid w:val="001911FA"/>
    <w:rsid w:val="00191430"/>
    <w:rsid w:val="00191EB9"/>
    <w:rsid w:val="001924CB"/>
    <w:rsid w:val="001936FA"/>
    <w:rsid w:val="00193784"/>
    <w:rsid w:val="0019509F"/>
    <w:rsid w:val="001958E5"/>
    <w:rsid w:val="00195B5B"/>
    <w:rsid w:val="00196376"/>
    <w:rsid w:val="00196B4E"/>
    <w:rsid w:val="001970AF"/>
    <w:rsid w:val="001A142C"/>
    <w:rsid w:val="001A254F"/>
    <w:rsid w:val="001A2DC1"/>
    <w:rsid w:val="001A5DBE"/>
    <w:rsid w:val="001A6913"/>
    <w:rsid w:val="001A7AD7"/>
    <w:rsid w:val="001B35CD"/>
    <w:rsid w:val="001B4457"/>
    <w:rsid w:val="001B4482"/>
    <w:rsid w:val="001B4860"/>
    <w:rsid w:val="001B5927"/>
    <w:rsid w:val="001C1DCB"/>
    <w:rsid w:val="001C24A3"/>
    <w:rsid w:val="001C2756"/>
    <w:rsid w:val="001C3C26"/>
    <w:rsid w:val="001C48B2"/>
    <w:rsid w:val="001C612B"/>
    <w:rsid w:val="001C7509"/>
    <w:rsid w:val="001D04C9"/>
    <w:rsid w:val="001D13E0"/>
    <w:rsid w:val="001D24C4"/>
    <w:rsid w:val="001D2B54"/>
    <w:rsid w:val="001D2FA2"/>
    <w:rsid w:val="001D34A3"/>
    <w:rsid w:val="001D35F4"/>
    <w:rsid w:val="001D49D3"/>
    <w:rsid w:val="001D4A93"/>
    <w:rsid w:val="001D4B48"/>
    <w:rsid w:val="001D4DCD"/>
    <w:rsid w:val="001D5FCC"/>
    <w:rsid w:val="001D65BE"/>
    <w:rsid w:val="001D670E"/>
    <w:rsid w:val="001E34C0"/>
    <w:rsid w:val="001E4020"/>
    <w:rsid w:val="001E4AB4"/>
    <w:rsid w:val="001E633A"/>
    <w:rsid w:val="001E7078"/>
    <w:rsid w:val="001F0B39"/>
    <w:rsid w:val="001F2311"/>
    <w:rsid w:val="001F255B"/>
    <w:rsid w:val="001F34F7"/>
    <w:rsid w:val="001F446D"/>
    <w:rsid w:val="001F6A1E"/>
    <w:rsid w:val="001F7D1D"/>
    <w:rsid w:val="002001A4"/>
    <w:rsid w:val="00200BD3"/>
    <w:rsid w:val="002013BF"/>
    <w:rsid w:val="00201C31"/>
    <w:rsid w:val="002027AE"/>
    <w:rsid w:val="002036AC"/>
    <w:rsid w:val="00203D7E"/>
    <w:rsid w:val="00204247"/>
    <w:rsid w:val="00204592"/>
    <w:rsid w:val="0020593E"/>
    <w:rsid w:val="00206A73"/>
    <w:rsid w:val="0020719D"/>
    <w:rsid w:val="00210474"/>
    <w:rsid w:val="00210DC3"/>
    <w:rsid w:val="00213CF3"/>
    <w:rsid w:val="00214062"/>
    <w:rsid w:val="00214617"/>
    <w:rsid w:val="00214C77"/>
    <w:rsid w:val="0021604B"/>
    <w:rsid w:val="00216496"/>
    <w:rsid w:val="002169F0"/>
    <w:rsid w:val="00220C99"/>
    <w:rsid w:val="00220F26"/>
    <w:rsid w:val="00223068"/>
    <w:rsid w:val="00223DB5"/>
    <w:rsid w:val="00223F65"/>
    <w:rsid w:val="002241FC"/>
    <w:rsid w:val="00224FC1"/>
    <w:rsid w:val="0022661E"/>
    <w:rsid w:val="00226713"/>
    <w:rsid w:val="00226C33"/>
    <w:rsid w:val="00232485"/>
    <w:rsid w:val="00233AB5"/>
    <w:rsid w:val="00233DBB"/>
    <w:rsid w:val="00236191"/>
    <w:rsid w:val="00240191"/>
    <w:rsid w:val="0024128B"/>
    <w:rsid w:val="00241B27"/>
    <w:rsid w:val="00242257"/>
    <w:rsid w:val="00242433"/>
    <w:rsid w:val="0024396C"/>
    <w:rsid w:val="00245FDB"/>
    <w:rsid w:val="00246885"/>
    <w:rsid w:val="00247876"/>
    <w:rsid w:val="00247E3A"/>
    <w:rsid w:val="002523CC"/>
    <w:rsid w:val="002532B6"/>
    <w:rsid w:val="00253358"/>
    <w:rsid w:val="00253608"/>
    <w:rsid w:val="0025363E"/>
    <w:rsid w:val="00254771"/>
    <w:rsid w:val="002548AA"/>
    <w:rsid w:val="002562C8"/>
    <w:rsid w:val="00256F58"/>
    <w:rsid w:val="002570C7"/>
    <w:rsid w:val="00260703"/>
    <w:rsid w:val="002609AC"/>
    <w:rsid w:val="002620F1"/>
    <w:rsid w:val="0026322D"/>
    <w:rsid w:val="00263D63"/>
    <w:rsid w:val="00263ECE"/>
    <w:rsid w:val="002645A3"/>
    <w:rsid w:val="00264F04"/>
    <w:rsid w:val="002650EE"/>
    <w:rsid w:val="00265E4C"/>
    <w:rsid w:val="0026617F"/>
    <w:rsid w:val="00266666"/>
    <w:rsid w:val="00266E03"/>
    <w:rsid w:val="00267771"/>
    <w:rsid w:val="0027026C"/>
    <w:rsid w:val="00273043"/>
    <w:rsid w:val="002739FB"/>
    <w:rsid w:val="002740DB"/>
    <w:rsid w:val="00274DED"/>
    <w:rsid w:val="0027580C"/>
    <w:rsid w:val="00275A2B"/>
    <w:rsid w:val="00276152"/>
    <w:rsid w:val="00276180"/>
    <w:rsid w:val="00276669"/>
    <w:rsid w:val="0027776A"/>
    <w:rsid w:val="0028007F"/>
    <w:rsid w:val="00280425"/>
    <w:rsid w:val="002814D8"/>
    <w:rsid w:val="00281DB7"/>
    <w:rsid w:val="0028278F"/>
    <w:rsid w:val="00283CEB"/>
    <w:rsid w:val="002855AC"/>
    <w:rsid w:val="00286281"/>
    <w:rsid w:val="00286CF8"/>
    <w:rsid w:val="002876B8"/>
    <w:rsid w:val="00290D5F"/>
    <w:rsid w:val="00291181"/>
    <w:rsid w:val="002916A3"/>
    <w:rsid w:val="00291D77"/>
    <w:rsid w:val="002923B1"/>
    <w:rsid w:val="0029258E"/>
    <w:rsid w:val="00293502"/>
    <w:rsid w:val="00294992"/>
    <w:rsid w:val="00294DFE"/>
    <w:rsid w:val="002952BA"/>
    <w:rsid w:val="00295920"/>
    <w:rsid w:val="00296FF4"/>
    <w:rsid w:val="00297161"/>
    <w:rsid w:val="002A3898"/>
    <w:rsid w:val="002A3B9A"/>
    <w:rsid w:val="002A5815"/>
    <w:rsid w:val="002A6282"/>
    <w:rsid w:val="002A6466"/>
    <w:rsid w:val="002A6799"/>
    <w:rsid w:val="002A6828"/>
    <w:rsid w:val="002A6AB1"/>
    <w:rsid w:val="002B297A"/>
    <w:rsid w:val="002B38C8"/>
    <w:rsid w:val="002B6AFA"/>
    <w:rsid w:val="002C0605"/>
    <w:rsid w:val="002C1560"/>
    <w:rsid w:val="002C4205"/>
    <w:rsid w:val="002C44A2"/>
    <w:rsid w:val="002C5F04"/>
    <w:rsid w:val="002D203A"/>
    <w:rsid w:val="002D4D44"/>
    <w:rsid w:val="002D59C5"/>
    <w:rsid w:val="002D6CAB"/>
    <w:rsid w:val="002D7589"/>
    <w:rsid w:val="002D7A21"/>
    <w:rsid w:val="002E073A"/>
    <w:rsid w:val="002E0CFF"/>
    <w:rsid w:val="002E2127"/>
    <w:rsid w:val="002E2A60"/>
    <w:rsid w:val="002E3E05"/>
    <w:rsid w:val="002E43AA"/>
    <w:rsid w:val="002E65C7"/>
    <w:rsid w:val="002E6E43"/>
    <w:rsid w:val="002F22BD"/>
    <w:rsid w:val="002F29D4"/>
    <w:rsid w:val="002F5AB8"/>
    <w:rsid w:val="002F6703"/>
    <w:rsid w:val="003022AE"/>
    <w:rsid w:val="00303DAC"/>
    <w:rsid w:val="003040EB"/>
    <w:rsid w:val="003048BD"/>
    <w:rsid w:val="00304B8C"/>
    <w:rsid w:val="00306510"/>
    <w:rsid w:val="00310150"/>
    <w:rsid w:val="003104B1"/>
    <w:rsid w:val="003105D3"/>
    <w:rsid w:val="00311C6D"/>
    <w:rsid w:val="003127D9"/>
    <w:rsid w:val="0031327B"/>
    <w:rsid w:val="0031418B"/>
    <w:rsid w:val="003147E7"/>
    <w:rsid w:val="00314FFE"/>
    <w:rsid w:val="00315B29"/>
    <w:rsid w:val="00316CFB"/>
    <w:rsid w:val="00317826"/>
    <w:rsid w:val="003202F4"/>
    <w:rsid w:val="003206A3"/>
    <w:rsid w:val="00321250"/>
    <w:rsid w:val="0032128F"/>
    <w:rsid w:val="00322A17"/>
    <w:rsid w:val="00324B2E"/>
    <w:rsid w:val="00325631"/>
    <w:rsid w:val="00325671"/>
    <w:rsid w:val="00326C4B"/>
    <w:rsid w:val="0032711A"/>
    <w:rsid w:val="0032714A"/>
    <w:rsid w:val="00330B9F"/>
    <w:rsid w:val="003314A9"/>
    <w:rsid w:val="00332115"/>
    <w:rsid w:val="00333939"/>
    <w:rsid w:val="00334329"/>
    <w:rsid w:val="0033595F"/>
    <w:rsid w:val="00336ED1"/>
    <w:rsid w:val="00337840"/>
    <w:rsid w:val="003418CB"/>
    <w:rsid w:val="00344476"/>
    <w:rsid w:val="00344E59"/>
    <w:rsid w:val="003457CC"/>
    <w:rsid w:val="00347CCB"/>
    <w:rsid w:val="003507BE"/>
    <w:rsid w:val="00350EF5"/>
    <w:rsid w:val="0035317A"/>
    <w:rsid w:val="0035317B"/>
    <w:rsid w:val="00353204"/>
    <w:rsid w:val="00353D6E"/>
    <w:rsid w:val="00354154"/>
    <w:rsid w:val="003546BE"/>
    <w:rsid w:val="00355915"/>
    <w:rsid w:val="00356079"/>
    <w:rsid w:val="003562D5"/>
    <w:rsid w:val="00356782"/>
    <w:rsid w:val="00356CC3"/>
    <w:rsid w:val="00357870"/>
    <w:rsid w:val="00357FDC"/>
    <w:rsid w:val="00360FE0"/>
    <w:rsid w:val="00361F95"/>
    <w:rsid w:val="00365377"/>
    <w:rsid w:val="00365C02"/>
    <w:rsid w:val="00366D6D"/>
    <w:rsid w:val="0036783D"/>
    <w:rsid w:val="00370AA9"/>
    <w:rsid w:val="00371F57"/>
    <w:rsid w:val="00372CD3"/>
    <w:rsid w:val="0037444A"/>
    <w:rsid w:val="0037545B"/>
    <w:rsid w:val="00375A85"/>
    <w:rsid w:val="00376BAB"/>
    <w:rsid w:val="003802A1"/>
    <w:rsid w:val="00380C91"/>
    <w:rsid w:val="00383747"/>
    <w:rsid w:val="00383B43"/>
    <w:rsid w:val="003846BE"/>
    <w:rsid w:val="00385C87"/>
    <w:rsid w:val="00386375"/>
    <w:rsid w:val="0038758B"/>
    <w:rsid w:val="00390371"/>
    <w:rsid w:val="00390384"/>
    <w:rsid w:val="003907BE"/>
    <w:rsid w:val="00390884"/>
    <w:rsid w:val="00391411"/>
    <w:rsid w:val="0039277E"/>
    <w:rsid w:val="00393235"/>
    <w:rsid w:val="00393748"/>
    <w:rsid w:val="0039383A"/>
    <w:rsid w:val="0039437E"/>
    <w:rsid w:val="00394780"/>
    <w:rsid w:val="00394858"/>
    <w:rsid w:val="003949BB"/>
    <w:rsid w:val="00395C2C"/>
    <w:rsid w:val="00396001"/>
    <w:rsid w:val="00396E41"/>
    <w:rsid w:val="003970A8"/>
    <w:rsid w:val="003A0BE2"/>
    <w:rsid w:val="003A1A1E"/>
    <w:rsid w:val="003A2BF3"/>
    <w:rsid w:val="003A3BAB"/>
    <w:rsid w:val="003A4CB1"/>
    <w:rsid w:val="003A712D"/>
    <w:rsid w:val="003A7C2C"/>
    <w:rsid w:val="003A7DD3"/>
    <w:rsid w:val="003B1495"/>
    <w:rsid w:val="003B180B"/>
    <w:rsid w:val="003B1A54"/>
    <w:rsid w:val="003B309E"/>
    <w:rsid w:val="003B3657"/>
    <w:rsid w:val="003B5D04"/>
    <w:rsid w:val="003B60AE"/>
    <w:rsid w:val="003B6818"/>
    <w:rsid w:val="003B6E04"/>
    <w:rsid w:val="003B6E2A"/>
    <w:rsid w:val="003B6FF2"/>
    <w:rsid w:val="003C0271"/>
    <w:rsid w:val="003C0527"/>
    <w:rsid w:val="003C1E0E"/>
    <w:rsid w:val="003C23A8"/>
    <w:rsid w:val="003C2A4D"/>
    <w:rsid w:val="003C6533"/>
    <w:rsid w:val="003C6AB2"/>
    <w:rsid w:val="003C7476"/>
    <w:rsid w:val="003C75AC"/>
    <w:rsid w:val="003C7CC2"/>
    <w:rsid w:val="003C7E9E"/>
    <w:rsid w:val="003D0FAC"/>
    <w:rsid w:val="003D198D"/>
    <w:rsid w:val="003D1D69"/>
    <w:rsid w:val="003D254E"/>
    <w:rsid w:val="003D28E0"/>
    <w:rsid w:val="003D2F71"/>
    <w:rsid w:val="003D318C"/>
    <w:rsid w:val="003D46C1"/>
    <w:rsid w:val="003D4F2B"/>
    <w:rsid w:val="003D60CD"/>
    <w:rsid w:val="003D7972"/>
    <w:rsid w:val="003D7E89"/>
    <w:rsid w:val="003E10D1"/>
    <w:rsid w:val="003E178C"/>
    <w:rsid w:val="003E28E1"/>
    <w:rsid w:val="003E35ED"/>
    <w:rsid w:val="003E37B8"/>
    <w:rsid w:val="003E3C97"/>
    <w:rsid w:val="003E3EBD"/>
    <w:rsid w:val="003E4633"/>
    <w:rsid w:val="003E5C45"/>
    <w:rsid w:val="003E6CAC"/>
    <w:rsid w:val="003E6EBE"/>
    <w:rsid w:val="003E7B92"/>
    <w:rsid w:val="003F05D7"/>
    <w:rsid w:val="003F0D20"/>
    <w:rsid w:val="003F10E8"/>
    <w:rsid w:val="003F18FE"/>
    <w:rsid w:val="003F3500"/>
    <w:rsid w:val="003F72DB"/>
    <w:rsid w:val="003F7820"/>
    <w:rsid w:val="00400869"/>
    <w:rsid w:val="00400E5F"/>
    <w:rsid w:val="0040198B"/>
    <w:rsid w:val="00401E66"/>
    <w:rsid w:val="004029FA"/>
    <w:rsid w:val="00403037"/>
    <w:rsid w:val="004051D5"/>
    <w:rsid w:val="00406E48"/>
    <w:rsid w:val="00407007"/>
    <w:rsid w:val="004102A5"/>
    <w:rsid w:val="004106C4"/>
    <w:rsid w:val="00412EC2"/>
    <w:rsid w:val="00412ECD"/>
    <w:rsid w:val="00413AC5"/>
    <w:rsid w:val="00415543"/>
    <w:rsid w:val="00416B60"/>
    <w:rsid w:val="004171E9"/>
    <w:rsid w:val="00421362"/>
    <w:rsid w:val="00422612"/>
    <w:rsid w:val="00424108"/>
    <w:rsid w:val="004257A1"/>
    <w:rsid w:val="00426F03"/>
    <w:rsid w:val="00427FFA"/>
    <w:rsid w:val="00430F67"/>
    <w:rsid w:val="004313CE"/>
    <w:rsid w:val="004317D9"/>
    <w:rsid w:val="004321B0"/>
    <w:rsid w:val="0043249F"/>
    <w:rsid w:val="00432BE5"/>
    <w:rsid w:val="00435717"/>
    <w:rsid w:val="00436A98"/>
    <w:rsid w:val="00436EF7"/>
    <w:rsid w:val="00437524"/>
    <w:rsid w:val="004425D2"/>
    <w:rsid w:val="00442A0A"/>
    <w:rsid w:val="00445476"/>
    <w:rsid w:val="004458C2"/>
    <w:rsid w:val="00446E93"/>
    <w:rsid w:val="0044738E"/>
    <w:rsid w:val="00451970"/>
    <w:rsid w:val="00452FB5"/>
    <w:rsid w:val="00453814"/>
    <w:rsid w:val="004546B7"/>
    <w:rsid w:val="00455335"/>
    <w:rsid w:val="00455C25"/>
    <w:rsid w:val="00455F47"/>
    <w:rsid w:val="0045625F"/>
    <w:rsid w:val="00457A4B"/>
    <w:rsid w:val="004601F2"/>
    <w:rsid w:val="00461479"/>
    <w:rsid w:val="00461E10"/>
    <w:rsid w:val="00462175"/>
    <w:rsid w:val="00462236"/>
    <w:rsid w:val="004643D9"/>
    <w:rsid w:val="00464958"/>
    <w:rsid w:val="004655EA"/>
    <w:rsid w:val="00466DD4"/>
    <w:rsid w:val="00470F91"/>
    <w:rsid w:val="00471987"/>
    <w:rsid w:val="004758E8"/>
    <w:rsid w:val="0047594F"/>
    <w:rsid w:val="00477A81"/>
    <w:rsid w:val="00481D4C"/>
    <w:rsid w:val="004843B2"/>
    <w:rsid w:val="00484DA0"/>
    <w:rsid w:val="0049166B"/>
    <w:rsid w:val="004929DA"/>
    <w:rsid w:val="0049338F"/>
    <w:rsid w:val="00493AF2"/>
    <w:rsid w:val="0049648C"/>
    <w:rsid w:val="00496E3B"/>
    <w:rsid w:val="004972AE"/>
    <w:rsid w:val="004A03A1"/>
    <w:rsid w:val="004A08FF"/>
    <w:rsid w:val="004A09F8"/>
    <w:rsid w:val="004A1A91"/>
    <w:rsid w:val="004A2191"/>
    <w:rsid w:val="004A43EC"/>
    <w:rsid w:val="004A4622"/>
    <w:rsid w:val="004A4B26"/>
    <w:rsid w:val="004A5894"/>
    <w:rsid w:val="004B0662"/>
    <w:rsid w:val="004B08A3"/>
    <w:rsid w:val="004B1CE4"/>
    <w:rsid w:val="004B1E35"/>
    <w:rsid w:val="004B3FAD"/>
    <w:rsid w:val="004B4567"/>
    <w:rsid w:val="004B4A6F"/>
    <w:rsid w:val="004B4FAF"/>
    <w:rsid w:val="004B5345"/>
    <w:rsid w:val="004B5F90"/>
    <w:rsid w:val="004B69EC"/>
    <w:rsid w:val="004B6A07"/>
    <w:rsid w:val="004B6F66"/>
    <w:rsid w:val="004C037F"/>
    <w:rsid w:val="004C06E1"/>
    <w:rsid w:val="004C0EDE"/>
    <w:rsid w:val="004C5186"/>
    <w:rsid w:val="004C5CB8"/>
    <w:rsid w:val="004C6CC8"/>
    <w:rsid w:val="004C74D4"/>
    <w:rsid w:val="004C760B"/>
    <w:rsid w:val="004C7987"/>
    <w:rsid w:val="004C7DAB"/>
    <w:rsid w:val="004D12DC"/>
    <w:rsid w:val="004D22B8"/>
    <w:rsid w:val="004D4B13"/>
    <w:rsid w:val="004D5132"/>
    <w:rsid w:val="004D6F83"/>
    <w:rsid w:val="004E08BE"/>
    <w:rsid w:val="004E198A"/>
    <w:rsid w:val="004E2B45"/>
    <w:rsid w:val="004E3863"/>
    <w:rsid w:val="004E440E"/>
    <w:rsid w:val="004E48BB"/>
    <w:rsid w:val="004E49EB"/>
    <w:rsid w:val="004E4CB6"/>
    <w:rsid w:val="004E536D"/>
    <w:rsid w:val="004E5C60"/>
    <w:rsid w:val="004E6A3F"/>
    <w:rsid w:val="004E7202"/>
    <w:rsid w:val="004E79A7"/>
    <w:rsid w:val="004E7B4A"/>
    <w:rsid w:val="004F1249"/>
    <w:rsid w:val="004F19CB"/>
    <w:rsid w:val="004F38ED"/>
    <w:rsid w:val="004F3D36"/>
    <w:rsid w:val="004F3E87"/>
    <w:rsid w:val="004F3F9A"/>
    <w:rsid w:val="004F457B"/>
    <w:rsid w:val="004F4E54"/>
    <w:rsid w:val="004F5358"/>
    <w:rsid w:val="004F7B4B"/>
    <w:rsid w:val="00501971"/>
    <w:rsid w:val="00501D81"/>
    <w:rsid w:val="005037F4"/>
    <w:rsid w:val="00506DA1"/>
    <w:rsid w:val="005079A6"/>
    <w:rsid w:val="00507C4B"/>
    <w:rsid w:val="00510A74"/>
    <w:rsid w:val="005120C3"/>
    <w:rsid w:val="00512C13"/>
    <w:rsid w:val="00516C92"/>
    <w:rsid w:val="0051780F"/>
    <w:rsid w:val="00517D86"/>
    <w:rsid w:val="00520553"/>
    <w:rsid w:val="00522E61"/>
    <w:rsid w:val="00524A3F"/>
    <w:rsid w:val="0052521D"/>
    <w:rsid w:val="00525DE9"/>
    <w:rsid w:val="005260FC"/>
    <w:rsid w:val="005269AA"/>
    <w:rsid w:val="00527505"/>
    <w:rsid w:val="00527C4C"/>
    <w:rsid w:val="005338EA"/>
    <w:rsid w:val="005347EC"/>
    <w:rsid w:val="00535A9B"/>
    <w:rsid w:val="00537231"/>
    <w:rsid w:val="00537517"/>
    <w:rsid w:val="0054198D"/>
    <w:rsid w:val="00542002"/>
    <w:rsid w:val="00543A56"/>
    <w:rsid w:val="00543B22"/>
    <w:rsid w:val="005457FE"/>
    <w:rsid w:val="005463F6"/>
    <w:rsid w:val="00547C3E"/>
    <w:rsid w:val="00550C39"/>
    <w:rsid w:val="00551007"/>
    <w:rsid w:val="00551494"/>
    <w:rsid w:val="00551A6D"/>
    <w:rsid w:val="00552C24"/>
    <w:rsid w:val="00552C6E"/>
    <w:rsid w:val="005548D4"/>
    <w:rsid w:val="00555C6E"/>
    <w:rsid w:val="00555C76"/>
    <w:rsid w:val="00555DC2"/>
    <w:rsid w:val="00555FAA"/>
    <w:rsid w:val="005579F1"/>
    <w:rsid w:val="00557CCF"/>
    <w:rsid w:val="00557E31"/>
    <w:rsid w:val="00557FA3"/>
    <w:rsid w:val="0056252A"/>
    <w:rsid w:val="0056298B"/>
    <w:rsid w:val="005631EF"/>
    <w:rsid w:val="00563C8F"/>
    <w:rsid w:val="005647CF"/>
    <w:rsid w:val="00566684"/>
    <w:rsid w:val="005676F0"/>
    <w:rsid w:val="00571EB4"/>
    <w:rsid w:val="005752C0"/>
    <w:rsid w:val="00575763"/>
    <w:rsid w:val="005763BA"/>
    <w:rsid w:val="00576DC9"/>
    <w:rsid w:val="00582014"/>
    <w:rsid w:val="00582037"/>
    <w:rsid w:val="0058213B"/>
    <w:rsid w:val="00582BC8"/>
    <w:rsid w:val="00582DC2"/>
    <w:rsid w:val="00583492"/>
    <w:rsid w:val="0058608D"/>
    <w:rsid w:val="00587258"/>
    <w:rsid w:val="005876E5"/>
    <w:rsid w:val="00587FB9"/>
    <w:rsid w:val="00590E82"/>
    <w:rsid w:val="005910B3"/>
    <w:rsid w:val="0059259F"/>
    <w:rsid w:val="00592931"/>
    <w:rsid w:val="005930C5"/>
    <w:rsid w:val="005930E6"/>
    <w:rsid w:val="00594565"/>
    <w:rsid w:val="005948B8"/>
    <w:rsid w:val="00596852"/>
    <w:rsid w:val="00597C4D"/>
    <w:rsid w:val="00597EB0"/>
    <w:rsid w:val="005A03EE"/>
    <w:rsid w:val="005A062A"/>
    <w:rsid w:val="005A1CE3"/>
    <w:rsid w:val="005A2EC3"/>
    <w:rsid w:val="005A3180"/>
    <w:rsid w:val="005A3F40"/>
    <w:rsid w:val="005A4012"/>
    <w:rsid w:val="005A48F2"/>
    <w:rsid w:val="005A4AB1"/>
    <w:rsid w:val="005A6C16"/>
    <w:rsid w:val="005A791F"/>
    <w:rsid w:val="005A7D18"/>
    <w:rsid w:val="005B0217"/>
    <w:rsid w:val="005B1267"/>
    <w:rsid w:val="005B1974"/>
    <w:rsid w:val="005B1F9B"/>
    <w:rsid w:val="005B2431"/>
    <w:rsid w:val="005B3C4C"/>
    <w:rsid w:val="005B6C65"/>
    <w:rsid w:val="005B7156"/>
    <w:rsid w:val="005B7B4F"/>
    <w:rsid w:val="005C1DBE"/>
    <w:rsid w:val="005C2B71"/>
    <w:rsid w:val="005C2CFE"/>
    <w:rsid w:val="005C442B"/>
    <w:rsid w:val="005C6761"/>
    <w:rsid w:val="005C683D"/>
    <w:rsid w:val="005D01A9"/>
    <w:rsid w:val="005D0354"/>
    <w:rsid w:val="005D0D58"/>
    <w:rsid w:val="005D0E03"/>
    <w:rsid w:val="005D1434"/>
    <w:rsid w:val="005D1C7F"/>
    <w:rsid w:val="005D2A44"/>
    <w:rsid w:val="005D45E5"/>
    <w:rsid w:val="005D580B"/>
    <w:rsid w:val="005D7069"/>
    <w:rsid w:val="005D77C5"/>
    <w:rsid w:val="005E14E7"/>
    <w:rsid w:val="005E16FA"/>
    <w:rsid w:val="005E3F8D"/>
    <w:rsid w:val="005E42F6"/>
    <w:rsid w:val="005E4453"/>
    <w:rsid w:val="005E4CE0"/>
    <w:rsid w:val="005E4F3B"/>
    <w:rsid w:val="005E52B9"/>
    <w:rsid w:val="005E5854"/>
    <w:rsid w:val="005E5AB3"/>
    <w:rsid w:val="005E5F49"/>
    <w:rsid w:val="005E73FA"/>
    <w:rsid w:val="005E7D99"/>
    <w:rsid w:val="005E7E65"/>
    <w:rsid w:val="005F0799"/>
    <w:rsid w:val="005F2344"/>
    <w:rsid w:val="005F3EFA"/>
    <w:rsid w:val="005F5942"/>
    <w:rsid w:val="005F7535"/>
    <w:rsid w:val="005F75E4"/>
    <w:rsid w:val="006009AD"/>
    <w:rsid w:val="00600E9D"/>
    <w:rsid w:val="00602792"/>
    <w:rsid w:val="0060333D"/>
    <w:rsid w:val="006033F0"/>
    <w:rsid w:val="00603B58"/>
    <w:rsid w:val="006040C1"/>
    <w:rsid w:val="0060411E"/>
    <w:rsid w:val="00604781"/>
    <w:rsid w:val="00604871"/>
    <w:rsid w:val="0060691B"/>
    <w:rsid w:val="006078A6"/>
    <w:rsid w:val="00610F13"/>
    <w:rsid w:val="006114BF"/>
    <w:rsid w:val="0061310D"/>
    <w:rsid w:val="006140F9"/>
    <w:rsid w:val="0061448F"/>
    <w:rsid w:val="00614F6E"/>
    <w:rsid w:val="0061616C"/>
    <w:rsid w:val="00616ED1"/>
    <w:rsid w:val="00616F6B"/>
    <w:rsid w:val="00620E7E"/>
    <w:rsid w:val="00620EB5"/>
    <w:rsid w:val="00627FA0"/>
    <w:rsid w:val="00634113"/>
    <w:rsid w:val="0063500D"/>
    <w:rsid w:val="00635061"/>
    <w:rsid w:val="00635148"/>
    <w:rsid w:val="00636041"/>
    <w:rsid w:val="006361A6"/>
    <w:rsid w:val="00636DC6"/>
    <w:rsid w:val="00636E23"/>
    <w:rsid w:val="0063751A"/>
    <w:rsid w:val="00640AEB"/>
    <w:rsid w:val="00645EF9"/>
    <w:rsid w:val="00646CB4"/>
    <w:rsid w:val="0064749E"/>
    <w:rsid w:val="0065633E"/>
    <w:rsid w:val="00657123"/>
    <w:rsid w:val="006573E8"/>
    <w:rsid w:val="0066187E"/>
    <w:rsid w:val="00661E61"/>
    <w:rsid w:val="00665403"/>
    <w:rsid w:val="0066567C"/>
    <w:rsid w:val="006659A1"/>
    <w:rsid w:val="00673092"/>
    <w:rsid w:val="00674638"/>
    <w:rsid w:val="00674A66"/>
    <w:rsid w:val="00675926"/>
    <w:rsid w:val="00675B88"/>
    <w:rsid w:val="006760CD"/>
    <w:rsid w:val="00680FCB"/>
    <w:rsid w:val="0068274E"/>
    <w:rsid w:val="00682ECB"/>
    <w:rsid w:val="006833F4"/>
    <w:rsid w:val="006853A3"/>
    <w:rsid w:val="00685609"/>
    <w:rsid w:val="006865C8"/>
    <w:rsid w:val="006903E3"/>
    <w:rsid w:val="0069108D"/>
    <w:rsid w:val="006922B2"/>
    <w:rsid w:val="00692756"/>
    <w:rsid w:val="00693B50"/>
    <w:rsid w:val="006963BB"/>
    <w:rsid w:val="006969FD"/>
    <w:rsid w:val="00697C9C"/>
    <w:rsid w:val="006A0321"/>
    <w:rsid w:val="006A0E54"/>
    <w:rsid w:val="006A128F"/>
    <w:rsid w:val="006A20FA"/>
    <w:rsid w:val="006A2686"/>
    <w:rsid w:val="006A41BA"/>
    <w:rsid w:val="006A44C7"/>
    <w:rsid w:val="006A4624"/>
    <w:rsid w:val="006A5324"/>
    <w:rsid w:val="006A62C5"/>
    <w:rsid w:val="006A6E28"/>
    <w:rsid w:val="006A7B75"/>
    <w:rsid w:val="006B0A4C"/>
    <w:rsid w:val="006B0E1F"/>
    <w:rsid w:val="006B1830"/>
    <w:rsid w:val="006B1A47"/>
    <w:rsid w:val="006B2E07"/>
    <w:rsid w:val="006B3488"/>
    <w:rsid w:val="006B35F0"/>
    <w:rsid w:val="006B44D0"/>
    <w:rsid w:val="006B4CE1"/>
    <w:rsid w:val="006C0279"/>
    <w:rsid w:val="006C3F11"/>
    <w:rsid w:val="006C5545"/>
    <w:rsid w:val="006C6F78"/>
    <w:rsid w:val="006C7926"/>
    <w:rsid w:val="006C7991"/>
    <w:rsid w:val="006D204D"/>
    <w:rsid w:val="006D2587"/>
    <w:rsid w:val="006D29C2"/>
    <w:rsid w:val="006D6889"/>
    <w:rsid w:val="006D76FE"/>
    <w:rsid w:val="006E2A21"/>
    <w:rsid w:val="006E2F51"/>
    <w:rsid w:val="006E3419"/>
    <w:rsid w:val="006E4411"/>
    <w:rsid w:val="006E47A8"/>
    <w:rsid w:val="006E6B22"/>
    <w:rsid w:val="006E75B0"/>
    <w:rsid w:val="006F03ED"/>
    <w:rsid w:val="006F07C4"/>
    <w:rsid w:val="006F0DF1"/>
    <w:rsid w:val="006F12A7"/>
    <w:rsid w:val="006F37AC"/>
    <w:rsid w:val="006F45CA"/>
    <w:rsid w:val="006F577C"/>
    <w:rsid w:val="006F6ACD"/>
    <w:rsid w:val="006F6BC9"/>
    <w:rsid w:val="006F7947"/>
    <w:rsid w:val="0070002F"/>
    <w:rsid w:val="0070010D"/>
    <w:rsid w:val="00702347"/>
    <w:rsid w:val="007046CE"/>
    <w:rsid w:val="00704D8A"/>
    <w:rsid w:val="00705999"/>
    <w:rsid w:val="00705DE9"/>
    <w:rsid w:val="00706256"/>
    <w:rsid w:val="00706C80"/>
    <w:rsid w:val="00711379"/>
    <w:rsid w:val="0071183A"/>
    <w:rsid w:val="00713620"/>
    <w:rsid w:val="007142A1"/>
    <w:rsid w:val="007148C7"/>
    <w:rsid w:val="00715949"/>
    <w:rsid w:val="007205DD"/>
    <w:rsid w:val="00720895"/>
    <w:rsid w:val="00721533"/>
    <w:rsid w:val="00721ECD"/>
    <w:rsid w:val="007221CA"/>
    <w:rsid w:val="007238E9"/>
    <w:rsid w:val="00724863"/>
    <w:rsid w:val="00726F5B"/>
    <w:rsid w:val="007272B3"/>
    <w:rsid w:val="007303B4"/>
    <w:rsid w:val="00731257"/>
    <w:rsid w:val="00731B17"/>
    <w:rsid w:val="00731CBD"/>
    <w:rsid w:val="00731FBA"/>
    <w:rsid w:val="0073420D"/>
    <w:rsid w:val="00734274"/>
    <w:rsid w:val="00734D09"/>
    <w:rsid w:val="00735E9B"/>
    <w:rsid w:val="00737A5E"/>
    <w:rsid w:val="0074049E"/>
    <w:rsid w:val="00743E18"/>
    <w:rsid w:val="00743FC0"/>
    <w:rsid w:val="007454E5"/>
    <w:rsid w:val="0074565B"/>
    <w:rsid w:val="00745C1F"/>
    <w:rsid w:val="00745D0B"/>
    <w:rsid w:val="00745E89"/>
    <w:rsid w:val="007469CE"/>
    <w:rsid w:val="00746ED4"/>
    <w:rsid w:val="00747542"/>
    <w:rsid w:val="00747A51"/>
    <w:rsid w:val="00747B84"/>
    <w:rsid w:val="007510B1"/>
    <w:rsid w:val="0075195F"/>
    <w:rsid w:val="00751EF4"/>
    <w:rsid w:val="00751F0D"/>
    <w:rsid w:val="00752FC8"/>
    <w:rsid w:val="00756E06"/>
    <w:rsid w:val="0075706E"/>
    <w:rsid w:val="00761D4D"/>
    <w:rsid w:val="00762348"/>
    <w:rsid w:val="00762EC8"/>
    <w:rsid w:val="00763C88"/>
    <w:rsid w:val="007648F2"/>
    <w:rsid w:val="0076529C"/>
    <w:rsid w:val="00765ED4"/>
    <w:rsid w:val="007660B4"/>
    <w:rsid w:val="007667F1"/>
    <w:rsid w:val="00767608"/>
    <w:rsid w:val="007676A2"/>
    <w:rsid w:val="007678DD"/>
    <w:rsid w:val="0077022B"/>
    <w:rsid w:val="00770A9E"/>
    <w:rsid w:val="00772C81"/>
    <w:rsid w:val="00774C3B"/>
    <w:rsid w:val="00775871"/>
    <w:rsid w:val="00775E1C"/>
    <w:rsid w:val="00776501"/>
    <w:rsid w:val="007765EE"/>
    <w:rsid w:val="007771B0"/>
    <w:rsid w:val="0078003D"/>
    <w:rsid w:val="00780DCC"/>
    <w:rsid w:val="00781523"/>
    <w:rsid w:val="00781539"/>
    <w:rsid w:val="00782391"/>
    <w:rsid w:val="00782C2F"/>
    <w:rsid w:val="007839D6"/>
    <w:rsid w:val="00787085"/>
    <w:rsid w:val="00787F9D"/>
    <w:rsid w:val="007910CE"/>
    <w:rsid w:val="007914A1"/>
    <w:rsid w:val="007924C0"/>
    <w:rsid w:val="007935DC"/>
    <w:rsid w:val="00794ABB"/>
    <w:rsid w:val="00795892"/>
    <w:rsid w:val="00796FC2"/>
    <w:rsid w:val="007976D5"/>
    <w:rsid w:val="007A0058"/>
    <w:rsid w:val="007A06F1"/>
    <w:rsid w:val="007A1497"/>
    <w:rsid w:val="007A253A"/>
    <w:rsid w:val="007A2DD7"/>
    <w:rsid w:val="007A376D"/>
    <w:rsid w:val="007A3F91"/>
    <w:rsid w:val="007A4865"/>
    <w:rsid w:val="007A4E34"/>
    <w:rsid w:val="007A504D"/>
    <w:rsid w:val="007A5917"/>
    <w:rsid w:val="007A5B7F"/>
    <w:rsid w:val="007A5FCC"/>
    <w:rsid w:val="007A7DF9"/>
    <w:rsid w:val="007B1AE1"/>
    <w:rsid w:val="007B1D39"/>
    <w:rsid w:val="007B1F01"/>
    <w:rsid w:val="007B2C10"/>
    <w:rsid w:val="007B328A"/>
    <w:rsid w:val="007B4061"/>
    <w:rsid w:val="007B51CA"/>
    <w:rsid w:val="007B6A81"/>
    <w:rsid w:val="007C0365"/>
    <w:rsid w:val="007C0503"/>
    <w:rsid w:val="007C0F72"/>
    <w:rsid w:val="007C13FB"/>
    <w:rsid w:val="007C17F9"/>
    <w:rsid w:val="007C2239"/>
    <w:rsid w:val="007C3856"/>
    <w:rsid w:val="007C4954"/>
    <w:rsid w:val="007C4EDE"/>
    <w:rsid w:val="007C5585"/>
    <w:rsid w:val="007C65E3"/>
    <w:rsid w:val="007C7356"/>
    <w:rsid w:val="007D0766"/>
    <w:rsid w:val="007D1537"/>
    <w:rsid w:val="007D1F94"/>
    <w:rsid w:val="007D236E"/>
    <w:rsid w:val="007D2A4D"/>
    <w:rsid w:val="007D7EBD"/>
    <w:rsid w:val="007E05B4"/>
    <w:rsid w:val="007E1EA3"/>
    <w:rsid w:val="007E1F28"/>
    <w:rsid w:val="007E3D97"/>
    <w:rsid w:val="007E452E"/>
    <w:rsid w:val="007E484F"/>
    <w:rsid w:val="007E4DD1"/>
    <w:rsid w:val="007E6CEE"/>
    <w:rsid w:val="007E7144"/>
    <w:rsid w:val="007F13E6"/>
    <w:rsid w:val="007F1813"/>
    <w:rsid w:val="007F5419"/>
    <w:rsid w:val="007F54F9"/>
    <w:rsid w:val="007F6C16"/>
    <w:rsid w:val="008006C9"/>
    <w:rsid w:val="008007A2"/>
    <w:rsid w:val="00800F67"/>
    <w:rsid w:val="00801944"/>
    <w:rsid w:val="00801F7C"/>
    <w:rsid w:val="00802CFA"/>
    <w:rsid w:val="00802FF7"/>
    <w:rsid w:val="00804A5C"/>
    <w:rsid w:val="00810A9D"/>
    <w:rsid w:val="008124C5"/>
    <w:rsid w:val="008127A2"/>
    <w:rsid w:val="00812C0E"/>
    <w:rsid w:val="00815A8E"/>
    <w:rsid w:val="00815E17"/>
    <w:rsid w:val="00817A4C"/>
    <w:rsid w:val="0082071F"/>
    <w:rsid w:val="008210A4"/>
    <w:rsid w:val="008214DF"/>
    <w:rsid w:val="00822879"/>
    <w:rsid w:val="00826F42"/>
    <w:rsid w:val="008276E9"/>
    <w:rsid w:val="00827D75"/>
    <w:rsid w:val="00832AEC"/>
    <w:rsid w:val="008337B8"/>
    <w:rsid w:val="00833D61"/>
    <w:rsid w:val="00834205"/>
    <w:rsid w:val="008345DC"/>
    <w:rsid w:val="0083499E"/>
    <w:rsid w:val="0083644E"/>
    <w:rsid w:val="00836877"/>
    <w:rsid w:val="00840F3E"/>
    <w:rsid w:val="008420AD"/>
    <w:rsid w:val="008422D8"/>
    <w:rsid w:val="008435F0"/>
    <w:rsid w:val="00844AD4"/>
    <w:rsid w:val="00844B9E"/>
    <w:rsid w:val="00844B9F"/>
    <w:rsid w:val="008536F1"/>
    <w:rsid w:val="00856515"/>
    <w:rsid w:val="00856A10"/>
    <w:rsid w:val="00856AD8"/>
    <w:rsid w:val="00856BF4"/>
    <w:rsid w:val="008573B1"/>
    <w:rsid w:val="00857D4E"/>
    <w:rsid w:val="0086262A"/>
    <w:rsid w:val="00864A94"/>
    <w:rsid w:val="00865398"/>
    <w:rsid w:val="00865A31"/>
    <w:rsid w:val="00865E52"/>
    <w:rsid w:val="00866D69"/>
    <w:rsid w:val="00866E7E"/>
    <w:rsid w:val="00871729"/>
    <w:rsid w:val="00872D16"/>
    <w:rsid w:val="008747CB"/>
    <w:rsid w:val="00876CCA"/>
    <w:rsid w:val="00877C90"/>
    <w:rsid w:val="008811FD"/>
    <w:rsid w:val="00881243"/>
    <w:rsid w:val="008823A7"/>
    <w:rsid w:val="0088428B"/>
    <w:rsid w:val="00885011"/>
    <w:rsid w:val="008859AC"/>
    <w:rsid w:val="0088633D"/>
    <w:rsid w:val="00891E5F"/>
    <w:rsid w:val="008930C3"/>
    <w:rsid w:val="0089323F"/>
    <w:rsid w:val="008941D8"/>
    <w:rsid w:val="0089581F"/>
    <w:rsid w:val="00895C9E"/>
    <w:rsid w:val="008A012E"/>
    <w:rsid w:val="008A0756"/>
    <w:rsid w:val="008A0C4E"/>
    <w:rsid w:val="008A0DCB"/>
    <w:rsid w:val="008A24D4"/>
    <w:rsid w:val="008A25A7"/>
    <w:rsid w:val="008A2C14"/>
    <w:rsid w:val="008A59A2"/>
    <w:rsid w:val="008A783A"/>
    <w:rsid w:val="008B0505"/>
    <w:rsid w:val="008B33C1"/>
    <w:rsid w:val="008B3B75"/>
    <w:rsid w:val="008B4F3D"/>
    <w:rsid w:val="008B6510"/>
    <w:rsid w:val="008B7983"/>
    <w:rsid w:val="008B7D3C"/>
    <w:rsid w:val="008C0B10"/>
    <w:rsid w:val="008C2573"/>
    <w:rsid w:val="008C29A0"/>
    <w:rsid w:val="008C2C4A"/>
    <w:rsid w:val="008C3A69"/>
    <w:rsid w:val="008C3C5E"/>
    <w:rsid w:val="008C3E1C"/>
    <w:rsid w:val="008C4002"/>
    <w:rsid w:val="008C4024"/>
    <w:rsid w:val="008C5937"/>
    <w:rsid w:val="008C6756"/>
    <w:rsid w:val="008C6B03"/>
    <w:rsid w:val="008C6F0C"/>
    <w:rsid w:val="008D1228"/>
    <w:rsid w:val="008D1565"/>
    <w:rsid w:val="008D16D1"/>
    <w:rsid w:val="008D1DC0"/>
    <w:rsid w:val="008D272D"/>
    <w:rsid w:val="008D2E9B"/>
    <w:rsid w:val="008D47B9"/>
    <w:rsid w:val="008D5DEE"/>
    <w:rsid w:val="008D66A7"/>
    <w:rsid w:val="008E12FB"/>
    <w:rsid w:val="008E1565"/>
    <w:rsid w:val="008E3556"/>
    <w:rsid w:val="008E3D34"/>
    <w:rsid w:val="008E491B"/>
    <w:rsid w:val="008E5285"/>
    <w:rsid w:val="008E60CB"/>
    <w:rsid w:val="008E74DB"/>
    <w:rsid w:val="008F3D29"/>
    <w:rsid w:val="008F3FEA"/>
    <w:rsid w:val="008F589C"/>
    <w:rsid w:val="008F656C"/>
    <w:rsid w:val="00903395"/>
    <w:rsid w:val="009036CD"/>
    <w:rsid w:val="00903749"/>
    <w:rsid w:val="0090400E"/>
    <w:rsid w:val="00905A2C"/>
    <w:rsid w:val="00905BF5"/>
    <w:rsid w:val="00911539"/>
    <w:rsid w:val="009116CF"/>
    <w:rsid w:val="00912CCC"/>
    <w:rsid w:val="009139EE"/>
    <w:rsid w:val="00915338"/>
    <w:rsid w:val="00915C52"/>
    <w:rsid w:val="009178A3"/>
    <w:rsid w:val="00920B13"/>
    <w:rsid w:val="00920E8D"/>
    <w:rsid w:val="009217D5"/>
    <w:rsid w:val="0092256B"/>
    <w:rsid w:val="009234F5"/>
    <w:rsid w:val="0092484B"/>
    <w:rsid w:val="009264A5"/>
    <w:rsid w:val="0092680A"/>
    <w:rsid w:val="009303C8"/>
    <w:rsid w:val="009310A7"/>
    <w:rsid w:val="009310C9"/>
    <w:rsid w:val="00931E4A"/>
    <w:rsid w:val="0093221C"/>
    <w:rsid w:val="00932E11"/>
    <w:rsid w:val="00933186"/>
    <w:rsid w:val="00933477"/>
    <w:rsid w:val="0093388F"/>
    <w:rsid w:val="009347C0"/>
    <w:rsid w:val="00934BEF"/>
    <w:rsid w:val="00935B55"/>
    <w:rsid w:val="00935D13"/>
    <w:rsid w:val="00936C3A"/>
    <w:rsid w:val="00941170"/>
    <w:rsid w:val="00942AF6"/>
    <w:rsid w:val="00945076"/>
    <w:rsid w:val="00945BCB"/>
    <w:rsid w:val="00946693"/>
    <w:rsid w:val="00946C87"/>
    <w:rsid w:val="00946E4F"/>
    <w:rsid w:val="0095135C"/>
    <w:rsid w:val="0095196D"/>
    <w:rsid w:val="00951988"/>
    <w:rsid w:val="009543B7"/>
    <w:rsid w:val="00954C74"/>
    <w:rsid w:val="00954F4C"/>
    <w:rsid w:val="009562DF"/>
    <w:rsid w:val="00956D13"/>
    <w:rsid w:val="009579A0"/>
    <w:rsid w:val="00957E86"/>
    <w:rsid w:val="0096055E"/>
    <w:rsid w:val="00960EF2"/>
    <w:rsid w:val="00961067"/>
    <w:rsid w:val="00961D72"/>
    <w:rsid w:val="00962FC9"/>
    <w:rsid w:val="009641A1"/>
    <w:rsid w:val="00964941"/>
    <w:rsid w:val="0096519F"/>
    <w:rsid w:val="00966229"/>
    <w:rsid w:val="00966F54"/>
    <w:rsid w:val="009678F7"/>
    <w:rsid w:val="00970C3F"/>
    <w:rsid w:val="00974EBB"/>
    <w:rsid w:val="00976731"/>
    <w:rsid w:val="009773B6"/>
    <w:rsid w:val="0097777A"/>
    <w:rsid w:val="00982E15"/>
    <w:rsid w:val="009844AE"/>
    <w:rsid w:val="0098745B"/>
    <w:rsid w:val="00987B46"/>
    <w:rsid w:val="009902BB"/>
    <w:rsid w:val="00990FA4"/>
    <w:rsid w:val="00992991"/>
    <w:rsid w:val="00993333"/>
    <w:rsid w:val="00993590"/>
    <w:rsid w:val="00995F61"/>
    <w:rsid w:val="009966F1"/>
    <w:rsid w:val="00996C03"/>
    <w:rsid w:val="00997D1D"/>
    <w:rsid w:val="009A05CD"/>
    <w:rsid w:val="009A060C"/>
    <w:rsid w:val="009A0948"/>
    <w:rsid w:val="009A1041"/>
    <w:rsid w:val="009A16DA"/>
    <w:rsid w:val="009A1BA6"/>
    <w:rsid w:val="009A36E0"/>
    <w:rsid w:val="009A3DDA"/>
    <w:rsid w:val="009A4005"/>
    <w:rsid w:val="009A4289"/>
    <w:rsid w:val="009A4B31"/>
    <w:rsid w:val="009A5E00"/>
    <w:rsid w:val="009A6D1C"/>
    <w:rsid w:val="009A7670"/>
    <w:rsid w:val="009A7D16"/>
    <w:rsid w:val="009B1195"/>
    <w:rsid w:val="009B31BE"/>
    <w:rsid w:val="009B699F"/>
    <w:rsid w:val="009B76F6"/>
    <w:rsid w:val="009B7A53"/>
    <w:rsid w:val="009C1021"/>
    <w:rsid w:val="009C1B9D"/>
    <w:rsid w:val="009C3031"/>
    <w:rsid w:val="009C3396"/>
    <w:rsid w:val="009C3F35"/>
    <w:rsid w:val="009C50A3"/>
    <w:rsid w:val="009C5EF2"/>
    <w:rsid w:val="009C6714"/>
    <w:rsid w:val="009C6984"/>
    <w:rsid w:val="009C708D"/>
    <w:rsid w:val="009D3BEE"/>
    <w:rsid w:val="009D3BF8"/>
    <w:rsid w:val="009D3CA2"/>
    <w:rsid w:val="009D4DA1"/>
    <w:rsid w:val="009D7DF5"/>
    <w:rsid w:val="009E0086"/>
    <w:rsid w:val="009E0F11"/>
    <w:rsid w:val="009E12A9"/>
    <w:rsid w:val="009E1B88"/>
    <w:rsid w:val="009E370D"/>
    <w:rsid w:val="009E482E"/>
    <w:rsid w:val="009E4A7A"/>
    <w:rsid w:val="009E5809"/>
    <w:rsid w:val="009E669E"/>
    <w:rsid w:val="009E716A"/>
    <w:rsid w:val="009F0857"/>
    <w:rsid w:val="009F0A44"/>
    <w:rsid w:val="009F1646"/>
    <w:rsid w:val="009F2015"/>
    <w:rsid w:val="009F2DE4"/>
    <w:rsid w:val="009F3377"/>
    <w:rsid w:val="009F3C68"/>
    <w:rsid w:val="009F5600"/>
    <w:rsid w:val="009F5AA7"/>
    <w:rsid w:val="009F6379"/>
    <w:rsid w:val="00A0177F"/>
    <w:rsid w:val="00A0254F"/>
    <w:rsid w:val="00A026C5"/>
    <w:rsid w:val="00A02EE7"/>
    <w:rsid w:val="00A02FCD"/>
    <w:rsid w:val="00A03A5F"/>
    <w:rsid w:val="00A03D5A"/>
    <w:rsid w:val="00A04702"/>
    <w:rsid w:val="00A0511F"/>
    <w:rsid w:val="00A0535C"/>
    <w:rsid w:val="00A06770"/>
    <w:rsid w:val="00A06950"/>
    <w:rsid w:val="00A073A7"/>
    <w:rsid w:val="00A074A2"/>
    <w:rsid w:val="00A103B2"/>
    <w:rsid w:val="00A10A10"/>
    <w:rsid w:val="00A122D8"/>
    <w:rsid w:val="00A12BE7"/>
    <w:rsid w:val="00A12ECE"/>
    <w:rsid w:val="00A14135"/>
    <w:rsid w:val="00A17145"/>
    <w:rsid w:val="00A203C6"/>
    <w:rsid w:val="00A20A79"/>
    <w:rsid w:val="00A2156E"/>
    <w:rsid w:val="00A22378"/>
    <w:rsid w:val="00A2305F"/>
    <w:rsid w:val="00A230E4"/>
    <w:rsid w:val="00A237AC"/>
    <w:rsid w:val="00A23EA3"/>
    <w:rsid w:val="00A24572"/>
    <w:rsid w:val="00A246F4"/>
    <w:rsid w:val="00A25855"/>
    <w:rsid w:val="00A26EF7"/>
    <w:rsid w:val="00A2703F"/>
    <w:rsid w:val="00A30444"/>
    <w:rsid w:val="00A30610"/>
    <w:rsid w:val="00A316EB"/>
    <w:rsid w:val="00A323A5"/>
    <w:rsid w:val="00A32423"/>
    <w:rsid w:val="00A32C18"/>
    <w:rsid w:val="00A35C76"/>
    <w:rsid w:val="00A366B1"/>
    <w:rsid w:val="00A37823"/>
    <w:rsid w:val="00A40753"/>
    <w:rsid w:val="00A41784"/>
    <w:rsid w:val="00A419B5"/>
    <w:rsid w:val="00A427FA"/>
    <w:rsid w:val="00A45067"/>
    <w:rsid w:val="00A45779"/>
    <w:rsid w:val="00A467CB"/>
    <w:rsid w:val="00A51253"/>
    <w:rsid w:val="00A516D9"/>
    <w:rsid w:val="00A51B4B"/>
    <w:rsid w:val="00A523D1"/>
    <w:rsid w:val="00A52DA9"/>
    <w:rsid w:val="00A54EA0"/>
    <w:rsid w:val="00A55019"/>
    <w:rsid w:val="00A55237"/>
    <w:rsid w:val="00A56BD0"/>
    <w:rsid w:val="00A606CE"/>
    <w:rsid w:val="00A60CB2"/>
    <w:rsid w:val="00A60FF1"/>
    <w:rsid w:val="00A6249D"/>
    <w:rsid w:val="00A62C0C"/>
    <w:rsid w:val="00A64049"/>
    <w:rsid w:val="00A6536B"/>
    <w:rsid w:val="00A65B97"/>
    <w:rsid w:val="00A66745"/>
    <w:rsid w:val="00A67C36"/>
    <w:rsid w:val="00A718A6"/>
    <w:rsid w:val="00A71CC1"/>
    <w:rsid w:val="00A723B2"/>
    <w:rsid w:val="00A731A5"/>
    <w:rsid w:val="00A73F53"/>
    <w:rsid w:val="00A753A2"/>
    <w:rsid w:val="00A80F6D"/>
    <w:rsid w:val="00A81CC5"/>
    <w:rsid w:val="00A82092"/>
    <w:rsid w:val="00A82241"/>
    <w:rsid w:val="00A8321C"/>
    <w:rsid w:val="00A847F3"/>
    <w:rsid w:val="00A87B3F"/>
    <w:rsid w:val="00A87F0B"/>
    <w:rsid w:val="00A87F37"/>
    <w:rsid w:val="00A90390"/>
    <w:rsid w:val="00A909D3"/>
    <w:rsid w:val="00A91D69"/>
    <w:rsid w:val="00A94C70"/>
    <w:rsid w:val="00A94D57"/>
    <w:rsid w:val="00A95E3F"/>
    <w:rsid w:val="00A96930"/>
    <w:rsid w:val="00A96C62"/>
    <w:rsid w:val="00A97076"/>
    <w:rsid w:val="00A972E8"/>
    <w:rsid w:val="00A97972"/>
    <w:rsid w:val="00A97B4E"/>
    <w:rsid w:val="00A97F88"/>
    <w:rsid w:val="00AA0925"/>
    <w:rsid w:val="00AA1E57"/>
    <w:rsid w:val="00AA1F3D"/>
    <w:rsid w:val="00AA2852"/>
    <w:rsid w:val="00AA3409"/>
    <w:rsid w:val="00AA3923"/>
    <w:rsid w:val="00AA464D"/>
    <w:rsid w:val="00AA65A0"/>
    <w:rsid w:val="00AA6EE7"/>
    <w:rsid w:val="00AA71FD"/>
    <w:rsid w:val="00AA7F58"/>
    <w:rsid w:val="00AB0ACE"/>
    <w:rsid w:val="00AB12C2"/>
    <w:rsid w:val="00AB1393"/>
    <w:rsid w:val="00AB166C"/>
    <w:rsid w:val="00AB250E"/>
    <w:rsid w:val="00AB2C65"/>
    <w:rsid w:val="00AB3A3C"/>
    <w:rsid w:val="00AB4D0A"/>
    <w:rsid w:val="00AB520A"/>
    <w:rsid w:val="00AB5F38"/>
    <w:rsid w:val="00AB6284"/>
    <w:rsid w:val="00AB65F8"/>
    <w:rsid w:val="00AC0059"/>
    <w:rsid w:val="00AC1339"/>
    <w:rsid w:val="00AC4836"/>
    <w:rsid w:val="00AC61E8"/>
    <w:rsid w:val="00AC68C0"/>
    <w:rsid w:val="00AD06BD"/>
    <w:rsid w:val="00AD1CBF"/>
    <w:rsid w:val="00AD25A4"/>
    <w:rsid w:val="00AD3357"/>
    <w:rsid w:val="00AD5696"/>
    <w:rsid w:val="00AD67BC"/>
    <w:rsid w:val="00AD70A1"/>
    <w:rsid w:val="00AE1A15"/>
    <w:rsid w:val="00AE22F9"/>
    <w:rsid w:val="00AE405B"/>
    <w:rsid w:val="00AE4257"/>
    <w:rsid w:val="00AE45A0"/>
    <w:rsid w:val="00AE515A"/>
    <w:rsid w:val="00AE63A9"/>
    <w:rsid w:val="00AF196F"/>
    <w:rsid w:val="00AF1A34"/>
    <w:rsid w:val="00AF38A0"/>
    <w:rsid w:val="00AF47F7"/>
    <w:rsid w:val="00AF511A"/>
    <w:rsid w:val="00AF5EE0"/>
    <w:rsid w:val="00AF7019"/>
    <w:rsid w:val="00B01CB2"/>
    <w:rsid w:val="00B02FB8"/>
    <w:rsid w:val="00B0495F"/>
    <w:rsid w:val="00B0572F"/>
    <w:rsid w:val="00B057BD"/>
    <w:rsid w:val="00B05817"/>
    <w:rsid w:val="00B11391"/>
    <w:rsid w:val="00B118E3"/>
    <w:rsid w:val="00B12699"/>
    <w:rsid w:val="00B1281C"/>
    <w:rsid w:val="00B14BD3"/>
    <w:rsid w:val="00B1731B"/>
    <w:rsid w:val="00B20FCD"/>
    <w:rsid w:val="00B217D4"/>
    <w:rsid w:val="00B21827"/>
    <w:rsid w:val="00B21EDB"/>
    <w:rsid w:val="00B224E5"/>
    <w:rsid w:val="00B227FD"/>
    <w:rsid w:val="00B23516"/>
    <w:rsid w:val="00B235D0"/>
    <w:rsid w:val="00B246DD"/>
    <w:rsid w:val="00B25631"/>
    <w:rsid w:val="00B26B64"/>
    <w:rsid w:val="00B26CBE"/>
    <w:rsid w:val="00B27A5E"/>
    <w:rsid w:val="00B305AE"/>
    <w:rsid w:val="00B326EF"/>
    <w:rsid w:val="00B32CE3"/>
    <w:rsid w:val="00B3337C"/>
    <w:rsid w:val="00B34716"/>
    <w:rsid w:val="00B35614"/>
    <w:rsid w:val="00B36BF7"/>
    <w:rsid w:val="00B3736B"/>
    <w:rsid w:val="00B37F2B"/>
    <w:rsid w:val="00B40317"/>
    <w:rsid w:val="00B40AE2"/>
    <w:rsid w:val="00B40CB0"/>
    <w:rsid w:val="00B40CF7"/>
    <w:rsid w:val="00B40EBA"/>
    <w:rsid w:val="00B4263D"/>
    <w:rsid w:val="00B42D20"/>
    <w:rsid w:val="00B42F89"/>
    <w:rsid w:val="00B44080"/>
    <w:rsid w:val="00B4607B"/>
    <w:rsid w:val="00B5092A"/>
    <w:rsid w:val="00B51220"/>
    <w:rsid w:val="00B5156F"/>
    <w:rsid w:val="00B52FE1"/>
    <w:rsid w:val="00B542C3"/>
    <w:rsid w:val="00B54380"/>
    <w:rsid w:val="00B5469B"/>
    <w:rsid w:val="00B605BF"/>
    <w:rsid w:val="00B60F25"/>
    <w:rsid w:val="00B612F2"/>
    <w:rsid w:val="00B61333"/>
    <w:rsid w:val="00B62B2B"/>
    <w:rsid w:val="00B62D06"/>
    <w:rsid w:val="00B630FA"/>
    <w:rsid w:val="00B63A40"/>
    <w:rsid w:val="00B65C9B"/>
    <w:rsid w:val="00B65F0C"/>
    <w:rsid w:val="00B6625D"/>
    <w:rsid w:val="00B66704"/>
    <w:rsid w:val="00B66FE5"/>
    <w:rsid w:val="00B67015"/>
    <w:rsid w:val="00B67D61"/>
    <w:rsid w:val="00B7073A"/>
    <w:rsid w:val="00B70B02"/>
    <w:rsid w:val="00B7670F"/>
    <w:rsid w:val="00B7736C"/>
    <w:rsid w:val="00B77CDB"/>
    <w:rsid w:val="00B83F90"/>
    <w:rsid w:val="00B841BE"/>
    <w:rsid w:val="00B8521D"/>
    <w:rsid w:val="00B8575A"/>
    <w:rsid w:val="00B85AC6"/>
    <w:rsid w:val="00B90BD0"/>
    <w:rsid w:val="00B91469"/>
    <w:rsid w:val="00B92958"/>
    <w:rsid w:val="00B93861"/>
    <w:rsid w:val="00B94E2E"/>
    <w:rsid w:val="00B94E45"/>
    <w:rsid w:val="00B95DF1"/>
    <w:rsid w:val="00B96D3E"/>
    <w:rsid w:val="00BA2985"/>
    <w:rsid w:val="00BA3B5F"/>
    <w:rsid w:val="00BA3B70"/>
    <w:rsid w:val="00BA3DBE"/>
    <w:rsid w:val="00BA49B4"/>
    <w:rsid w:val="00BA4D34"/>
    <w:rsid w:val="00BA5E8D"/>
    <w:rsid w:val="00BA6147"/>
    <w:rsid w:val="00BB053B"/>
    <w:rsid w:val="00BB175C"/>
    <w:rsid w:val="00BB1DAE"/>
    <w:rsid w:val="00BB20A2"/>
    <w:rsid w:val="00BB2C62"/>
    <w:rsid w:val="00BB3F9B"/>
    <w:rsid w:val="00BB5AA2"/>
    <w:rsid w:val="00BB5BF1"/>
    <w:rsid w:val="00BB5EA3"/>
    <w:rsid w:val="00BC0319"/>
    <w:rsid w:val="00BC0686"/>
    <w:rsid w:val="00BC08DB"/>
    <w:rsid w:val="00BC1D22"/>
    <w:rsid w:val="00BC325B"/>
    <w:rsid w:val="00BC3538"/>
    <w:rsid w:val="00BC39A9"/>
    <w:rsid w:val="00BC425D"/>
    <w:rsid w:val="00BC4263"/>
    <w:rsid w:val="00BC6F3C"/>
    <w:rsid w:val="00BC6FE5"/>
    <w:rsid w:val="00BC71C7"/>
    <w:rsid w:val="00BC7340"/>
    <w:rsid w:val="00BC76E7"/>
    <w:rsid w:val="00BD0162"/>
    <w:rsid w:val="00BD0447"/>
    <w:rsid w:val="00BD420D"/>
    <w:rsid w:val="00BD56EB"/>
    <w:rsid w:val="00BD5B83"/>
    <w:rsid w:val="00BD70CF"/>
    <w:rsid w:val="00BE02F5"/>
    <w:rsid w:val="00BE2D83"/>
    <w:rsid w:val="00BE3860"/>
    <w:rsid w:val="00BE3B5F"/>
    <w:rsid w:val="00BE5667"/>
    <w:rsid w:val="00BE5C32"/>
    <w:rsid w:val="00BF04A1"/>
    <w:rsid w:val="00BF1203"/>
    <w:rsid w:val="00BF4ACB"/>
    <w:rsid w:val="00BF6489"/>
    <w:rsid w:val="00C00DF0"/>
    <w:rsid w:val="00C02C5C"/>
    <w:rsid w:val="00C02C9D"/>
    <w:rsid w:val="00C02D5A"/>
    <w:rsid w:val="00C04946"/>
    <w:rsid w:val="00C0562F"/>
    <w:rsid w:val="00C05E29"/>
    <w:rsid w:val="00C11173"/>
    <w:rsid w:val="00C11478"/>
    <w:rsid w:val="00C114DB"/>
    <w:rsid w:val="00C118E9"/>
    <w:rsid w:val="00C11A37"/>
    <w:rsid w:val="00C12C59"/>
    <w:rsid w:val="00C13025"/>
    <w:rsid w:val="00C13078"/>
    <w:rsid w:val="00C13615"/>
    <w:rsid w:val="00C1427D"/>
    <w:rsid w:val="00C145D2"/>
    <w:rsid w:val="00C14D93"/>
    <w:rsid w:val="00C1651A"/>
    <w:rsid w:val="00C167A1"/>
    <w:rsid w:val="00C174B4"/>
    <w:rsid w:val="00C1759E"/>
    <w:rsid w:val="00C20FD1"/>
    <w:rsid w:val="00C216F6"/>
    <w:rsid w:val="00C21AB3"/>
    <w:rsid w:val="00C21BFA"/>
    <w:rsid w:val="00C22BC3"/>
    <w:rsid w:val="00C22FB3"/>
    <w:rsid w:val="00C24777"/>
    <w:rsid w:val="00C24991"/>
    <w:rsid w:val="00C24F18"/>
    <w:rsid w:val="00C27E29"/>
    <w:rsid w:val="00C30371"/>
    <w:rsid w:val="00C30853"/>
    <w:rsid w:val="00C30CDD"/>
    <w:rsid w:val="00C32B08"/>
    <w:rsid w:val="00C32B69"/>
    <w:rsid w:val="00C32E35"/>
    <w:rsid w:val="00C344DB"/>
    <w:rsid w:val="00C348CD"/>
    <w:rsid w:val="00C40818"/>
    <w:rsid w:val="00C4321D"/>
    <w:rsid w:val="00C44665"/>
    <w:rsid w:val="00C46265"/>
    <w:rsid w:val="00C47896"/>
    <w:rsid w:val="00C47ED8"/>
    <w:rsid w:val="00C50850"/>
    <w:rsid w:val="00C519F4"/>
    <w:rsid w:val="00C521C8"/>
    <w:rsid w:val="00C52ABD"/>
    <w:rsid w:val="00C53630"/>
    <w:rsid w:val="00C537A1"/>
    <w:rsid w:val="00C53B8B"/>
    <w:rsid w:val="00C54A73"/>
    <w:rsid w:val="00C54C0F"/>
    <w:rsid w:val="00C5535D"/>
    <w:rsid w:val="00C55F29"/>
    <w:rsid w:val="00C573E3"/>
    <w:rsid w:val="00C5789B"/>
    <w:rsid w:val="00C619DD"/>
    <w:rsid w:val="00C61C39"/>
    <w:rsid w:val="00C61EB0"/>
    <w:rsid w:val="00C62FC0"/>
    <w:rsid w:val="00C63082"/>
    <w:rsid w:val="00C649AB"/>
    <w:rsid w:val="00C65361"/>
    <w:rsid w:val="00C653BF"/>
    <w:rsid w:val="00C654E2"/>
    <w:rsid w:val="00C65A18"/>
    <w:rsid w:val="00C65C6C"/>
    <w:rsid w:val="00C6630C"/>
    <w:rsid w:val="00C66A7C"/>
    <w:rsid w:val="00C66B84"/>
    <w:rsid w:val="00C66B8C"/>
    <w:rsid w:val="00C704D3"/>
    <w:rsid w:val="00C714F4"/>
    <w:rsid w:val="00C71DAC"/>
    <w:rsid w:val="00C72043"/>
    <w:rsid w:val="00C7274D"/>
    <w:rsid w:val="00C7777A"/>
    <w:rsid w:val="00C800A9"/>
    <w:rsid w:val="00C806F9"/>
    <w:rsid w:val="00C81EEE"/>
    <w:rsid w:val="00C82F84"/>
    <w:rsid w:val="00C8326B"/>
    <w:rsid w:val="00C84883"/>
    <w:rsid w:val="00C84E3C"/>
    <w:rsid w:val="00C851C2"/>
    <w:rsid w:val="00C871AF"/>
    <w:rsid w:val="00C90A86"/>
    <w:rsid w:val="00C93712"/>
    <w:rsid w:val="00C94C4A"/>
    <w:rsid w:val="00C95B43"/>
    <w:rsid w:val="00C95D76"/>
    <w:rsid w:val="00C965B4"/>
    <w:rsid w:val="00C96BC2"/>
    <w:rsid w:val="00C9766A"/>
    <w:rsid w:val="00CA0F10"/>
    <w:rsid w:val="00CA4EA7"/>
    <w:rsid w:val="00CA697D"/>
    <w:rsid w:val="00CB121C"/>
    <w:rsid w:val="00CB1FFA"/>
    <w:rsid w:val="00CB24BA"/>
    <w:rsid w:val="00CB447E"/>
    <w:rsid w:val="00CB4AEB"/>
    <w:rsid w:val="00CB5B7B"/>
    <w:rsid w:val="00CC189D"/>
    <w:rsid w:val="00CC1A1D"/>
    <w:rsid w:val="00CC1B5A"/>
    <w:rsid w:val="00CC2833"/>
    <w:rsid w:val="00CC3B4F"/>
    <w:rsid w:val="00CC4B92"/>
    <w:rsid w:val="00CC5119"/>
    <w:rsid w:val="00CC64F3"/>
    <w:rsid w:val="00CC6C06"/>
    <w:rsid w:val="00CC74F1"/>
    <w:rsid w:val="00CC7F1C"/>
    <w:rsid w:val="00CD0DC1"/>
    <w:rsid w:val="00CD1F58"/>
    <w:rsid w:val="00CD3793"/>
    <w:rsid w:val="00CD4BB7"/>
    <w:rsid w:val="00CD53B6"/>
    <w:rsid w:val="00CD55E3"/>
    <w:rsid w:val="00CD57F2"/>
    <w:rsid w:val="00CD621B"/>
    <w:rsid w:val="00CD7071"/>
    <w:rsid w:val="00CD7B20"/>
    <w:rsid w:val="00CE2661"/>
    <w:rsid w:val="00CE2C56"/>
    <w:rsid w:val="00CE3646"/>
    <w:rsid w:val="00CE6137"/>
    <w:rsid w:val="00CE7B4C"/>
    <w:rsid w:val="00CF0BEF"/>
    <w:rsid w:val="00CF0D43"/>
    <w:rsid w:val="00CF13E7"/>
    <w:rsid w:val="00CF324E"/>
    <w:rsid w:val="00CF33EA"/>
    <w:rsid w:val="00CF506D"/>
    <w:rsid w:val="00CF5357"/>
    <w:rsid w:val="00CF5B2F"/>
    <w:rsid w:val="00D00834"/>
    <w:rsid w:val="00D01A25"/>
    <w:rsid w:val="00D01BF4"/>
    <w:rsid w:val="00D01CF5"/>
    <w:rsid w:val="00D02B1D"/>
    <w:rsid w:val="00D039CC"/>
    <w:rsid w:val="00D046EE"/>
    <w:rsid w:val="00D061BA"/>
    <w:rsid w:val="00D069E5"/>
    <w:rsid w:val="00D071B5"/>
    <w:rsid w:val="00D07FEA"/>
    <w:rsid w:val="00D10CF7"/>
    <w:rsid w:val="00D11874"/>
    <w:rsid w:val="00D11A28"/>
    <w:rsid w:val="00D132A2"/>
    <w:rsid w:val="00D14B1C"/>
    <w:rsid w:val="00D15A7D"/>
    <w:rsid w:val="00D15CCB"/>
    <w:rsid w:val="00D20908"/>
    <w:rsid w:val="00D20DBA"/>
    <w:rsid w:val="00D21BE5"/>
    <w:rsid w:val="00D23AB1"/>
    <w:rsid w:val="00D23D9B"/>
    <w:rsid w:val="00D2595B"/>
    <w:rsid w:val="00D270B9"/>
    <w:rsid w:val="00D277C5"/>
    <w:rsid w:val="00D3040D"/>
    <w:rsid w:val="00D3056F"/>
    <w:rsid w:val="00D32A3C"/>
    <w:rsid w:val="00D355E9"/>
    <w:rsid w:val="00D36237"/>
    <w:rsid w:val="00D3758E"/>
    <w:rsid w:val="00D37C86"/>
    <w:rsid w:val="00D41BF8"/>
    <w:rsid w:val="00D42758"/>
    <w:rsid w:val="00D443B2"/>
    <w:rsid w:val="00D45D48"/>
    <w:rsid w:val="00D46E48"/>
    <w:rsid w:val="00D47BB0"/>
    <w:rsid w:val="00D502D9"/>
    <w:rsid w:val="00D5643E"/>
    <w:rsid w:val="00D56510"/>
    <w:rsid w:val="00D57658"/>
    <w:rsid w:val="00D57F22"/>
    <w:rsid w:val="00D622A2"/>
    <w:rsid w:val="00D622EF"/>
    <w:rsid w:val="00D62C8C"/>
    <w:rsid w:val="00D63253"/>
    <w:rsid w:val="00D633AC"/>
    <w:rsid w:val="00D63432"/>
    <w:rsid w:val="00D643D5"/>
    <w:rsid w:val="00D66F31"/>
    <w:rsid w:val="00D679AD"/>
    <w:rsid w:val="00D67C80"/>
    <w:rsid w:val="00D7116C"/>
    <w:rsid w:val="00D7138D"/>
    <w:rsid w:val="00D71DC1"/>
    <w:rsid w:val="00D720A3"/>
    <w:rsid w:val="00D735EB"/>
    <w:rsid w:val="00D73AA5"/>
    <w:rsid w:val="00D740B1"/>
    <w:rsid w:val="00D75350"/>
    <w:rsid w:val="00D7587F"/>
    <w:rsid w:val="00D75B4D"/>
    <w:rsid w:val="00D802C8"/>
    <w:rsid w:val="00D81419"/>
    <w:rsid w:val="00D82438"/>
    <w:rsid w:val="00D83F09"/>
    <w:rsid w:val="00D857B8"/>
    <w:rsid w:val="00D8645B"/>
    <w:rsid w:val="00D870A5"/>
    <w:rsid w:val="00D87AD3"/>
    <w:rsid w:val="00D90FA8"/>
    <w:rsid w:val="00D916A9"/>
    <w:rsid w:val="00D93762"/>
    <w:rsid w:val="00D95BD1"/>
    <w:rsid w:val="00D97105"/>
    <w:rsid w:val="00D97CD4"/>
    <w:rsid w:val="00D97F0C"/>
    <w:rsid w:val="00DA00DE"/>
    <w:rsid w:val="00DA11EE"/>
    <w:rsid w:val="00DA15B6"/>
    <w:rsid w:val="00DA1C40"/>
    <w:rsid w:val="00DA31B2"/>
    <w:rsid w:val="00DA3CFE"/>
    <w:rsid w:val="00DA598C"/>
    <w:rsid w:val="00DA5B58"/>
    <w:rsid w:val="00DA6518"/>
    <w:rsid w:val="00DA6CA9"/>
    <w:rsid w:val="00DA7F56"/>
    <w:rsid w:val="00DA7FB9"/>
    <w:rsid w:val="00DB082B"/>
    <w:rsid w:val="00DB171F"/>
    <w:rsid w:val="00DB1F16"/>
    <w:rsid w:val="00DB312F"/>
    <w:rsid w:val="00DB33AD"/>
    <w:rsid w:val="00DB40E8"/>
    <w:rsid w:val="00DB45B0"/>
    <w:rsid w:val="00DB4DF6"/>
    <w:rsid w:val="00DB6CBA"/>
    <w:rsid w:val="00DC03E8"/>
    <w:rsid w:val="00DC04F0"/>
    <w:rsid w:val="00DC06A8"/>
    <w:rsid w:val="00DC08ED"/>
    <w:rsid w:val="00DC2284"/>
    <w:rsid w:val="00DC2C2B"/>
    <w:rsid w:val="00DC2E46"/>
    <w:rsid w:val="00DC3AB1"/>
    <w:rsid w:val="00DC3CFE"/>
    <w:rsid w:val="00DC4750"/>
    <w:rsid w:val="00DC75BB"/>
    <w:rsid w:val="00DD0F96"/>
    <w:rsid w:val="00DD1AF2"/>
    <w:rsid w:val="00DD1DCD"/>
    <w:rsid w:val="00DD2687"/>
    <w:rsid w:val="00DD2DF5"/>
    <w:rsid w:val="00DD2F99"/>
    <w:rsid w:val="00DD361B"/>
    <w:rsid w:val="00DD4F52"/>
    <w:rsid w:val="00DD509A"/>
    <w:rsid w:val="00DD602B"/>
    <w:rsid w:val="00DD7F22"/>
    <w:rsid w:val="00DE0862"/>
    <w:rsid w:val="00DE32CF"/>
    <w:rsid w:val="00DE3E6A"/>
    <w:rsid w:val="00DE46DA"/>
    <w:rsid w:val="00DE4B9B"/>
    <w:rsid w:val="00DE5015"/>
    <w:rsid w:val="00DE5578"/>
    <w:rsid w:val="00DE5ECB"/>
    <w:rsid w:val="00DE6A88"/>
    <w:rsid w:val="00DE7038"/>
    <w:rsid w:val="00DE7263"/>
    <w:rsid w:val="00DE733B"/>
    <w:rsid w:val="00DE76AB"/>
    <w:rsid w:val="00DF2F52"/>
    <w:rsid w:val="00DF3405"/>
    <w:rsid w:val="00DF3827"/>
    <w:rsid w:val="00DF3E3C"/>
    <w:rsid w:val="00DF404C"/>
    <w:rsid w:val="00DF60F2"/>
    <w:rsid w:val="00DF6977"/>
    <w:rsid w:val="00E018C0"/>
    <w:rsid w:val="00E019A7"/>
    <w:rsid w:val="00E02A15"/>
    <w:rsid w:val="00E056A4"/>
    <w:rsid w:val="00E06382"/>
    <w:rsid w:val="00E07571"/>
    <w:rsid w:val="00E079C0"/>
    <w:rsid w:val="00E1027D"/>
    <w:rsid w:val="00E105D2"/>
    <w:rsid w:val="00E11C7F"/>
    <w:rsid w:val="00E11D04"/>
    <w:rsid w:val="00E13386"/>
    <w:rsid w:val="00E13CF8"/>
    <w:rsid w:val="00E145CD"/>
    <w:rsid w:val="00E14965"/>
    <w:rsid w:val="00E15A53"/>
    <w:rsid w:val="00E15CAD"/>
    <w:rsid w:val="00E162CA"/>
    <w:rsid w:val="00E173DF"/>
    <w:rsid w:val="00E17A5B"/>
    <w:rsid w:val="00E23819"/>
    <w:rsid w:val="00E246B4"/>
    <w:rsid w:val="00E26105"/>
    <w:rsid w:val="00E31203"/>
    <w:rsid w:val="00E31EA8"/>
    <w:rsid w:val="00E34298"/>
    <w:rsid w:val="00E3534A"/>
    <w:rsid w:val="00E3551B"/>
    <w:rsid w:val="00E3571A"/>
    <w:rsid w:val="00E360C2"/>
    <w:rsid w:val="00E3641C"/>
    <w:rsid w:val="00E366C6"/>
    <w:rsid w:val="00E3708A"/>
    <w:rsid w:val="00E379D5"/>
    <w:rsid w:val="00E37F9C"/>
    <w:rsid w:val="00E40255"/>
    <w:rsid w:val="00E454BB"/>
    <w:rsid w:val="00E45B56"/>
    <w:rsid w:val="00E45BED"/>
    <w:rsid w:val="00E46639"/>
    <w:rsid w:val="00E46B99"/>
    <w:rsid w:val="00E46BC1"/>
    <w:rsid w:val="00E52B07"/>
    <w:rsid w:val="00E536BF"/>
    <w:rsid w:val="00E53B76"/>
    <w:rsid w:val="00E54C14"/>
    <w:rsid w:val="00E54DAC"/>
    <w:rsid w:val="00E551A9"/>
    <w:rsid w:val="00E55DCD"/>
    <w:rsid w:val="00E5609D"/>
    <w:rsid w:val="00E562CD"/>
    <w:rsid w:val="00E56C90"/>
    <w:rsid w:val="00E57547"/>
    <w:rsid w:val="00E579AA"/>
    <w:rsid w:val="00E60509"/>
    <w:rsid w:val="00E614F4"/>
    <w:rsid w:val="00E6261D"/>
    <w:rsid w:val="00E64642"/>
    <w:rsid w:val="00E65038"/>
    <w:rsid w:val="00E65165"/>
    <w:rsid w:val="00E70704"/>
    <w:rsid w:val="00E713BA"/>
    <w:rsid w:val="00E7178B"/>
    <w:rsid w:val="00E725D1"/>
    <w:rsid w:val="00E72AD4"/>
    <w:rsid w:val="00E73770"/>
    <w:rsid w:val="00E73BBA"/>
    <w:rsid w:val="00E74FAA"/>
    <w:rsid w:val="00E7595B"/>
    <w:rsid w:val="00E76318"/>
    <w:rsid w:val="00E77903"/>
    <w:rsid w:val="00E839D1"/>
    <w:rsid w:val="00E84266"/>
    <w:rsid w:val="00E845F0"/>
    <w:rsid w:val="00E84824"/>
    <w:rsid w:val="00E84BC1"/>
    <w:rsid w:val="00E8556F"/>
    <w:rsid w:val="00E8604B"/>
    <w:rsid w:val="00E86392"/>
    <w:rsid w:val="00E90770"/>
    <w:rsid w:val="00E916D9"/>
    <w:rsid w:val="00E918C2"/>
    <w:rsid w:val="00E93046"/>
    <w:rsid w:val="00E934E1"/>
    <w:rsid w:val="00E93C5C"/>
    <w:rsid w:val="00E9417E"/>
    <w:rsid w:val="00E95129"/>
    <w:rsid w:val="00E96207"/>
    <w:rsid w:val="00E96D19"/>
    <w:rsid w:val="00E96ED1"/>
    <w:rsid w:val="00E96FEC"/>
    <w:rsid w:val="00E97000"/>
    <w:rsid w:val="00E97FAC"/>
    <w:rsid w:val="00EA0035"/>
    <w:rsid w:val="00EA01CA"/>
    <w:rsid w:val="00EA0692"/>
    <w:rsid w:val="00EA0DB7"/>
    <w:rsid w:val="00EA0F66"/>
    <w:rsid w:val="00EA1905"/>
    <w:rsid w:val="00EA2CDF"/>
    <w:rsid w:val="00EA30FF"/>
    <w:rsid w:val="00EA353B"/>
    <w:rsid w:val="00EA4230"/>
    <w:rsid w:val="00EB22C5"/>
    <w:rsid w:val="00EB5ED1"/>
    <w:rsid w:val="00EB6FA8"/>
    <w:rsid w:val="00EB733A"/>
    <w:rsid w:val="00EB73A8"/>
    <w:rsid w:val="00EC0EAA"/>
    <w:rsid w:val="00EC3E1B"/>
    <w:rsid w:val="00EC5449"/>
    <w:rsid w:val="00EC5869"/>
    <w:rsid w:val="00EC5EAD"/>
    <w:rsid w:val="00EC67CB"/>
    <w:rsid w:val="00EC74AE"/>
    <w:rsid w:val="00EC7BCA"/>
    <w:rsid w:val="00ED0B61"/>
    <w:rsid w:val="00ED3243"/>
    <w:rsid w:val="00ED3D67"/>
    <w:rsid w:val="00ED4429"/>
    <w:rsid w:val="00ED5760"/>
    <w:rsid w:val="00ED57C1"/>
    <w:rsid w:val="00ED619E"/>
    <w:rsid w:val="00ED6EC8"/>
    <w:rsid w:val="00ED7FB0"/>
    <w:rsid w:val="00EE117A"/>
    <w:rsid w:val="00EE124A"/>
    <w:rsid w:val="00EE1C27"/>
    <w:rsid w:val="00EE27E6"/>
    <w:rsid w:val="00EE2C44"/>
    <w:rsid w:val="00EE308D"/>
    <w:rsid w:val="00EE44D8"/>
    <w:rsid w:val="00EE453B"/>
    <w:rsid w:val="00EE6DE2"/>
    <w:rsid w:val="00EE74EF"/>
    <w:rsid w:val="00EE7848"/>
    <w:rsid w:val="00EF0EF9"/>
    <w:rsid w:val="00EF1EBA"/>
    <w:rsid w:val="00EF2619"/>
    <w:rsid w:val="00EF321C"/>
    <w:rsid w:val="00EF40F9"/>
    <w:rsid w:val="00EF4ECB"/>
    <w:rsid w:val="00EF5118"/>
    <w:rsid w:val="00F001BC"/>
    <w:rsid w:val="00F004B2"/>
    <w:rsid w:val="00F01248"/>
    <w:rsid w:val="00F0130C"/>
    <w:rsid w:val="00F013F2"/>
    <w:rsid w:val="00F0234C"/>
    <w:rsid w:val="00F02B1D"/>
    <w:rsid w:val="00F03885"/>
    <w:rsid w:val="00F03F3C"/>
    <w:rsid w:val="00F0730A"/>
    <w:rsid w:val="00F111F9"/>
    <w:rsid w:val="00F116A9"/>
    <w:rsid w:val="00F136A4"/>
    <w:rsid w:val="00F13B9A"/>
    <w:rsid w:val="00F14125"/>
    <w:rsid w:val="00F14331"/>
    <w:rsid w:val="00F1453D"/>
    <w:rsid w:val="00F14811"/>
    <w:rsid w:val="00F20773"/>
    <w:rsid w:val="00F2158B"/>
    <w:rsid w:val="00F21D44"/>
    <w:rsid w:val="00F221DF"/>
    <w:rsid w:val="00F24073"/>
    <w:rsid w:val="00F25658"/>
    <w:rsid w:val="00F260CF"/>
    <w:rsid w:val="00F27319"/>
    <w:rsid w:val="00F27529"/>
    <w:rsid w:val="00F31013"/>
    <w:rsid w:val="00F31A7F"/>
    <w:rsid w:val="00F31AF5"/>
    <w:rsid w:val="00F320E9"/>
    <w:rsid w:val="00F34082"/>
    <w:rsid w:val="00F344BE"/>
    <w:rsid w:val="00F34C1C"/>
    <w:rsid w:val="00F3524A"/>
    <w:rsid w:val="00F35AB4"/>
    <w:rsid w:val="00F360A5"/>
    <w:rsid w:val="00F367AC"/>
    <w:rsid w:val="00F36E51"/>
    <w:rsid w:val="00F371A0"/>
    <w:rsid w:val="00F376B4"/>
    <w:rsid w:val="00F37F32"/>
    <w:rsid w:val="00F40F6C"/>
    <w:rsid w:val="00F412A0"/>
    <w:rsid w:val="00F44726"/>
    <w:rsid w:val="00F4524E"/>
    <w:rsid w:val="00F4661B"/>
    <w:rsid w:val="00F47A71"/>
    <w:rsid w:val="00F50A8C"/>
    <w:rsid w:val="00F53229"/>
    <w:rsid w:val="00F5370E"/>
    <w:rsid w:val="00F53968"/>
    <w:rsid w:val="00F54B32"/>
    <w:rsid w:val="00F552DF"/>
    <w:rsid w:val="00F55652"/>
    <w:rsid w:val="00F56CC2"/>
    <w:rsid w:val="00F57D70"/>
    <w:rsid w:val="00F57F11"/>
    <w:rsid w:val="00F606C7"/>
    <w:rsid w:val="00F61CB3"/>
    <w:rsid w:val="00F6291F"/>
    <w:rsid w:val="00F63500"/>
    <w:rsid w:val="00F63938"/>
    <w:rsid w:val="00F67C0A"/>
    <w:rsid w:val="00F707FC"/>
    <w:rsid w:val="00F72D7C"/>
    <w:rsid w:val="00F737DD"/>
    <w:rsid w:val="00F7469B"/>
    <w:rsid w:val="00F7498D"/>
    <w:rsid w:val="00F74ECE"/>
    <w:rsid w:val="00F759DF"/>
    <w:rsid w:val="00F76339"/>
    <w:rsid w:val="00F765FF"/>
    <w:rsid w:val="00F769E6"/>
    <w:rsid w:val="00F80C3D"/>
    <w:rsid w:val="00F83540"/>
    <w:rsid w:val="00F836DD"/>
    <w:rsid w:val="00F83A82"/>
    <w:rsid w:val="00F84370"/>
    <w:rsid w:val="00F84BE9"/>
    <w:rsid w:val="00F8790F"/>
    <w:rsid w:val="00F87DD6"/>
    <w:rsid w:val="00F90110"/>
    <w:rsid w:val="00F9231F"/>
    <w:rsid w:val="00F9377D"/>
    <w:rsid w:val="00F9465C"/>
    <w:rsid w:val="00F964EB"/>
    <w:rsid w:val="00F972E9"/>
    <w:rsid w:val="00F97B05"/>
    <w:rsid w:val="00FA02B4"/>
    <w:rsid w:val="00FA1263"/>
    <w:rsid w:val="00FA2281"/>
    <w:rsid w:val="00FA372D"/>
    <w:rsid w:val="00FA3B2C"/>
    <w:rsid w:val="00FA5284"/>
    <w:rsid w:val="00FA619C"/>
    <w:rsid w:val="00FA6474"/>
    <w:rsid w:val="00FA7E60"/>
    <w:rsid w:val="00FB02D1"/>
    <w:rsid w:val="00FB110A"/>
    <w:rsid w:val="00FB14CF"/>
    <w:rsid w:val="00FB1FFF"/>
    <w:rsid w:val="00FB2B07"/>
    <w:rsid w:val="00FB2D80"/>
    <w:rsid w:val="00FB38A9"/>
    <w:rsid w:val="00FB4F7C"/>
    <w:rsid w:val="00FB57A9"/>
    <w:rsid w:val="00FB5D72"/>
    <w:rsid w:val="00FB60FC"/>
    <w:rsid w:val="00FB7EF7"/>
    <w:rsid w:val="00FC188D"/>
    <w:rsid w:val="00FC1BE6"/>
    <w:rsid w:val="00FC26DE"/>
    <w:rsid w:val="00FC3BD3"/>
    <w:rsid w:val="00FC4D8B"/>
    <w:rsid w:val="00FC518D"/>
    <w:rsid w:val="00FC5877"/>
    <w:rsid w:val="00FC5A91"/>
    <w:rsid w:val="00FC6D77"/>
    <w:rsid w:val="00FC713D"/>
    <w:rsid w:val="00FD09D5"/>
    <w:rsid w:val="00FD0AEF"/>
    <w:rsid w:val="00FD1E55"/>
    <w:rsid w:val="00FD2297"/>
    <w:rsid w:val="00FD2FED"/>
    <w:rsid w:val="00FD3DF4"/>
    <w:rsid w:val="00FD3E5A"/>
    <w:rsid w:val="00FD4A0C"/>
    <w:rsid w:val="00FD5F71"/>
    <w:rsid w:val="00FD6287"/>
    <w:rsid w:val="00FD6A94"/>
    <w:rsid w:val="00FD7A1E"/>
    <w:rsid w:val="00FE1C7E"/>
    <w:rsid w:val="00FE3164"/>
    <w:rsid w:val="00FE597F"/>
    <w:rsid w:val="00FF023B"/>
    <w:rsid w:val="00FF11B4"/>
    <w:rsid w:val="00FF455F"/>
    <w:rsid w:val="00FF5036"/>
    <w:rsid w:val="00FF69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D0AD2"/>
  <w15:chartTrackingRefBased/>
  <w15:docId w15:val="{62705AB8-0908-493B-82CA-DB8AA1AB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A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AB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B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5270</Words>
  <Characters>30042</Characters>
  <Application>Microsoft Office Word</Application>
  <DocSecurity>0</DocSecurity>
  <Lines>250</Lines>
  <Paragraphs>70</Paragraphs>
  <ScaleCrop>false</ScaleCrop>
  <Company>Hewlett-Packard Company</Company>
  <LinksUpToDate>false</LinksUpToDate>
  <CharactersWithSpaces>35242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Lin</dc:creator>
  <cp:keywords/>
  <dc:description/>
  <cp:lastModifiedBy>Frank M Painter</cp:lastModifiedBy>
  <cp:revision>2</cp:revision>
  <dcterms:created xsi:type="dcterms:W3CDTF">2022-09-19T00:05:00Z</dcterms:created>
  <dcterms:modified xsi:type="dcterms:W3CDTF">2022-09-19T00:05:00Z</dcterms:modified>
</cp:coreProperties>
</file>