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FC" w:rsidRDefault="00DF77FC" w:rsidP="00DF77FC">
      <w:pPr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proofErr w:type="gramStart"/>
      <w:r w:rsidRPr="007B667F">
        <w:rPr>
          <w:rFonts w:ascii="Arial" w:eastAsia="Times New Roman" w:hAnsi="Arial" w:cs="Arial"/>
          <w:b/>
          <w:color w:val="333333"/>
        </w:rPr>
        <w:t>S</w:t>
      </w:r>
      <w:r>
        <w:rPr>
          <w:rFonts w:ascii="Arial" w:eastAsia="Times New Roman" w:hAnsi="Arial" w:cs="Arial"/>
          <w:b/>
          <w:color w:val="333333"/>
        </w:rPr>
        <w:t>2</w:t>
      </w:r>
      <w:r w:rsidRPr="007B667F">
        <w:rPr>
          <w:rFonts w:ascii="Arial" w:eastAsia="Times New Roman" w:hAnsi="Arial" w:cs="Arial"/>
          <w:b/>
          <w:color w:val="333333"/>
        </w:rPr>
        <w:t xml:space="preserve"> Checklist.</w:t>
      </w:r>
      <w:proofErr w:type="gramEnd"/>
      <w:r w:rsidRPr="007B667F">
        <w:rPr>
          <w:rFonts w:ascii="Arial" w:eastAsia="Times New Roman" w:hAnsi="Arial" w:cs="Arial"/>
          <w:b/>
          <w:color w:val="333333"/>
        </w:rPr>
        <w:t xml:space="preserve"> </w:t>
      </w:r>
      <w:r>
        <w:rPr>
          <w:rFonts w:ascii="Arial" w:eastAsia="Times New Roman" w:hAnsi="Arial" w:cs="Arial"/>
          <w:b/>
          <w:color w:val="333333"/>
        </w:rPr>
        <w:t>Control</w:t>
      </w:r>
      <w:r w:rsidRPr="00DF77FC">
        <w:rPr>
          <w:rFonts w:ascii="Arial" w:eastAsia="Times New Roman" w:hAnsi="Arial" w:cs="Arial"/>
          <w:b/>
          <w:color w:val="333333"/>
        </w:rPr>
        <w:t xml:space="preserve"> description according to the Template for Intervention Description and Replication (</w:t>
      </w:r>
      <w:proofErr w:type="spellStart"/>
      <w:r w:rsidRPr="00DF77FC">
        <w:rPr>
          <w:rFonts w:ascii="Arial" w:eastAsia="Times New Roman" w:hAnsi="Arial" w:cs="Arial"/>
          <w:b/>
          <w:color w:val="333333"/>
        </w:rPr>
        <w:t>TIDieR</w:t>
      </w:r>
      <w:proofErr w:type="spellEnd"/>
      <w:r w:rsidRPr="00DF77FC">
        <w:rPr>
          <w:rFonts w:ascii="Arial" w:eastAsia="Times New Roman" w:hAnsi="Arial" w:cs="Arial"/>
          <w:b/>
          <w:color w:val="333333"/>
        </w:rPr>
        <w:t>) Checklist</w:t>
      </w:r>
      <w:r w:rsidRPr="007B667F">
        <w:rPr>
          <w:rFonts w:ascii="Arial" w:eastAsia="Times New Roman" w:hAnsi="Arial" w:cs="Arial"/>
          <w:b/>
          <w:color w:val="333333"/>
        </w:rPr>
        <w:t>.</w:t>
      </w:r>
    </w:p>
    <w:p w:rsidR="00DF77FC" w:rsidRPr="007B667F" w:rsidRDefault="00DF77FC" w:rsidP="00DF77FC">
      <w:pPr>
        <w:rPr>
          <w:rFonts w:eastAsiaTheme="minorEastAsia" w:cs="Times New Roman"/>
          <w:b/>
          <w:sz w:val="24"/>
          <w:szCs w:val="24"/>
          <w:lang w:val="en-GB"/>
        </w:rPr>
      </w:pPr>
      <w:r w:rsidRPr="00044FAA">
        <w:rPr>
          <w:rFonts w:cs="Times New Roman"/>
          <w:b/>
          <w:sz w:val="24"/>
          <w:szCs w:val="24"/>
        </w:rPr>
        <w:t xml:space="preserve">Darlow B, Stanley J, Dean S, Abbott JH, Garrett S, Wilson W, Mathieson F, Dowell A (2019) </w:t>
      </w:r>
      <w:r w:rsidRPr="00044FAA">
        <w:rPr>
          <w:rFonts w:cs="Times New Roman"/>
          <w:b/>
          <w:i/>
          <w:sz w:val="24"/>
          <w:szCs w:val="24"/>
        </w:rPr>
        <w:t>The Fear Reduction Exercised Early (FREE) approach to management of low back pain in general practice: a pragmatic cluster-randomised controlled trial</w:t>
      </w:r>
      <w:r w:rsidRPr="00044FAA">
        <w:rPr>
          <w:rFonts w:cs="Times New Roman"/>
          <w:b/>
          <w:sz w:val="24"/>
          <w:szCs w:val="24"/>
        </w:rPr>
        <w:t xml:space="preserve"> published in PLOS Medicine</w:t>
      </w:r>
    </w:p>
    <w:p w:rsidR="00DF77FC" w:rsidRDefault="00DF77FC"/>
    <w:tbl>
      <w:tblPr>
        <w:tblStyle w:val="TableGrid1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8076"/>
      </w:tblGrid>
      <w:tr w:rsidR="00DF77FC" w:rsidRPr="006A2095" w:rsidTr="00D1231E">
        <w:trPr>
          <w:trHeight w:val="383"/>
        </w:trPr>
        <w:tc>
          <w:tcPr>
            <w:tcW w:w="128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C6D9F1"/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A20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/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 xml:space="preserve">Item </w:t>
            </w:r>
          </w:p>
        </w:tc>
      </w:tr>
      <w:tr w:rsidR="00DF77FC" w:rsidRPr="006A2095" w:rsidTr="00D1231E">
        <w:tc>
          <w:tcPr>
            <w:tcW w:w="128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F77FC" w:rsidRPr="006A2095" w:rsidTr="00D1231E">
        <w:tc>
          <w:tcPr>
            <w:tcW w:w="1280" w:type="dxa"/>
            <w:tcBorders>
              <w:top w:val="single" w:sz="4" w:space="0" w:color="auto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nil"/>
              <w:right w:val="nil"/>
            </w:tcBorders>
          </w:tcPr>
          <w:p w:rsidR="00DF77FC" w:rsidRPr="006A2095" w:rsidRDefault="00DF77FC" w:rsidP="00D1231E">
            <w:pPr>
              <w:spacing w:before="240" w:after="200" w:line="276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</w:rPr>
              <w:t>BRIEF NAME</w:t>
            </w:r>
          </w:p>
        </w:tc>
      </w:tr>
      <w:tr w:rsidR="00DF77FC" w:rsidRPr="006A2095" w:rsidTr="00D1231E">
        <w:trPr>
          <w:trHeight w:val="377"/>
        </w:trPr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ind w:right="17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lang w:eastAsia="zh-CN"/>
              </w:rPr>
              <w:t>Usual care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</w:rPr>
              <w:t>WHY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lang w:val="en-GB"/>
              </w:rPr>
              <w:t>This was the best care available locally outside of the trial at the time of the study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.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</w:rPr>
              <w:t>WHAT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iCs/>
              </w:rPr>
              <w:t>No materials were actively provided to general practitioners but they had full access to current low back pain guidelines and management pathways</w:t>
            </w:r>
            <w:r w:rsidRPr="006A2095">
              <w:rPr>
                <w:rFonts w:ascii="Arial" w:eastAsia="Calibri" w:hAnsi="Arial" w:cs="Arial"/>
                <w:bCs/>
                <w:iCs/>
              </w:rPr>
              <w:t>.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4.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Default="00DF77FC" w:rsidP="00D1231E">
            <w:pPr>
              <w:spacing w:after="200" w:line="360" w:lineRule="auto"/>
              <w:rPr>
                <w:rFonts w:ascii="Arial" w:eastAsia="Calibri" w:hAnsi="Arial" w:cs="Arial"/>
                <w:bCs/>
                <w:iCs/>
              </w:rPr>
            </w:pPr>
            <w:r w:rsidRPr="006A2095">
              <w:rPr>
                <w:rFonts w:ascii="Arial" w:eastAsia="Calibri" w:hAnsi="Arial" w:cs="Arial"/>
                <w:bCs/>
                <w:iCs/>
              </w:rPr>
              <w:t xml:space="preserve">Procedures: </w:t>
            </w:r>
          </w:p>
          <w:p w:rsidR="00DF77FC" w:rsidRPr="00FE37BA" w:rsidRDefault="00DF77FC" w:rsidP="00D1231E">
            <w:pPr>
              <w:spacing w:after="200" w:line="360" w:lineRule="auto"/>
              <w:rPr>
                <w:rFonts w:ascii="Arial" w:eastAsia="Calibri" w:hAnsi="Arial" w:cs="Arial"/>
                <w:bCs/>
                <w:iCs/>
                <w:lang w:val="en-US"/>
              </w:rPr>
            </w:pP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General practitioners </w:t>
            </w:r>
            <w:r w:rsidRPr="005D0B06">
              <w:rPr>
                <w:rFonts w:ascii="Arial" w:eastAsia="Calibri" w:hAnsi="Arial" w:cs="Arial"/>
                <w:bCs/>
                <w:iCs/>
                <w:lang w:val="en-GB"/>
              </w:rPr>
              <w:t xml:space="preserve">did not receive </w:t>
            </w:r>
            <w:r w:rsidRPr="005D0B06">
              <w:rPr>
                <w:rFonts w:ascii="Arial" w:eastAsia="Calibri" w:hAnsi="Arial" w:cs="Arial"/>
                <w:bCs/>
                <w:iCs/>
                <w:lang w:val="en-US"/>
              </w:rPr>
              <w:t>specific training for this study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.</w:t>
            </w:r>
          </w:p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lang w:val="en-US"/>
              </w:rPr>
              <w:t>Patients received usual general practice care for low back pain.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  <w:bCs/>
                <w:iCs/>
              </w:rPr>
              <w:t>WHO PROVIDED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5.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The patient participants were treated by general practitioners. All general practitioner participants were registered medical practitioners working in a general practice and had a mean 14·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7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(SD 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12.9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) years’ general practice experience. The general practitioners delivered the 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care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as part of their usual cl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inical role and did not receive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any additional payment for providing this.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  <w:iCs/>
              </w:rPr>
              <w:t>HOW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lastRenderedPageBreak/>
              <w:t>6.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FE37BA" w:rsidRDefault="00DF77FC" w:rsidP="00D1231E">
            <w:pPr>
              <w:spacing w:after="200" w:line="360" w:lineRule="auto"/>
              <w:rPr>
                <w:rFonts w:ascii="Arial" w:eastAsia="Calibri" w:hAnsi="Arial" w:cs="Arial"/>
                <w:bCs/>
                <w:iCs/>
                <w:lang w:val="en-US"/>
              </w:rPr>
            </w:pP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General practitioner participants </w:t>
            </w:r>
            <w:r w:rsidRPr="005D0B06">
              <w:rPr>
                <w:rFonts w:ascii="Arial" w:eastAsia="Calibri" w:hAnsi="Arial" w:cs="Arial"/>
                <w:bCs/>
                <w:iCs/>
                <w:lang w:val="en-GB"/>
              </w:rPr>
              <w:t xml:space="preserve">did not receive </w:t>
            </w:r>
            <w:r w:rsidRPr="005D0B06">
              <w:rPr>
                <w:rFonts w:ascii="Arial" w:eastAsia="Calibri" w:hAnsi="Arial" w:cs="Arial"/>
                <w:bCs/>
                <w:iCs/>
                <w:lang w:val="en-US"/>
              </w:rPr>
              <w:t>specific training for this study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.</w:t>
            </w:r>
          </w:p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Patient participants received individual care as per normal from their general practitioner. This always included a face-to-face consultation, but may have also included telephone follow-up or asynchronous email or web-based interactions.</w:t>
            </w:r>
          </w:p>
        </w:tc>
      </w:tr>
      <w:tr w:rsidR="00DF77FC" w:rsidRPr="006A2095" w:rsidTr="00D1231E">
        <w:tc>
          <w:tcPr>
            <w:tcW w:w="1280" w:type="dxa"/>
            <w:tcBorders>
              <w:bottom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bottom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</w:rPr>
              <w:t>WHERE</w:t>
            </w:r>
          </w:p>
        </w:tc>
      </w:tr>
      <w:tr w:rsidR="00DF77FC" w:rsidRPr="006A2095" w:rsidTr="00D1231E">
        <w:tc>
          <w:tcPr>
            <w:tcW w:w="1280" w:type="dxa"/>
            <w:tcBorders>
              <w:top w:val="nil"/>
              <w:bottom w:val="single" w:sz="4" w:space="0" w:color="auto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7.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Patient participants received care within their 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usual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general practice.</w:t>
            </w:r>
          </w:p>
        </w:tc>
      </w:tr>
      <w:tr w:rsidR="00DF77FC" w:rsidRPr="006A2095" w:rsidTr="00D1231E">
        <w:tc>
          <w:tcPr>
            <w:tcW w:w="1280" w:type="dxa"/>
            <w:tcBorders>
              <w:top w:val="single" w:sz="4" w:space="0" w:color="auto"/>
              <w:bottom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7FC" w:rsidRPr="006A2095" w:rsidRDefault="00DF77FC" w:rsidP="00D1231E">
            <w:pPr>
              <w:spacing w:before="240"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  <w:bCs/>
                <w:iCs/>
              </w:rPr>
              <w:t>WHEN and HOW MUCH</w:t>
            </w:r>
          </w:p>
        </w:tc>
      </w:tr>
      <w:tr w:rsidR="00DF77FC" w:rsidRPr="006A2095" w:rsidTr="00D1231E">
        <w:tc>
          <w:tcPr>
            <w:tcW w:w="1280" w:type="dxa"/>
            <w:tcBorders>
              <w:top w:val="nil"/>
              <w:bottom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8.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lang w:val="en-US"/>
              </w:rPr>
            </w:pP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Patient participants received care as determined by their general practitioner (and the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 xml:space="preserve"> patient’s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own autonomy). This was not influenced by the study, but was monitored and reported. Mean consultation duration 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based on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audio-recorded consultations (recruitment consultation) in the 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control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arm was </w:t>
            </w:r>
            <w:r w:rsidRPr="005152A5">
              <w:rPr>
                <w:rFonts w:ascii="Arial" w:eastAsia="Calibri" w:hAnsi="Arial" w:cs="Arial"/>
                <w:bCs/>
                <w:iCs/>
                <w:lang w:val="en-US"/>
              </w:rPr>
              <w:t>16·5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 xml:space="preserve"> 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minutes (</w:t>
            </w:r>
            <w:r w:rsidRPr="005152A5">
              <w:rPr>
                <w:rFonts w:ascii="Arial" w:eastAsia="Calibri" w:hAnsi="Arial" w:cs="Arial"/>
                <w:bCs/>
                <w:iCs/>
                <w:lang w:val="en-US"/>
              </w:rPr>
              <w:t>SD = 4·1; 14·7 to 18·2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), reflecting usual GP low back pain consultation lengths.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Participants attended a mean of 1·0 additional GP consultation related to low back pain during the 6 month follow-up period (95% CI 0·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5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 xml:space="preserve"> to 1·</w:t>
            </w:r>
            <w:r>
              <w:rPr>
                <w:rFonts w:ascii="Arial" w:eastAsia="Calibri" w:hAnsi="Arial" w:cs="Arial"/>
                <w:bCs/>
                <w:iCs/>
                <w:lang w:val="en-US"/>
              </w:rPr>
              <w:t>5</w:t>
            </w:r>
            <w:r w:rsidRPr="00FE37BA">
              <w:rPr>
                <w:rFonts w:ascii="Arial" w:eastAsia="Calibri" w:hAnsi="Arial" w:cs="Arial"/>
                <w:bCs/>
                <w:iCs/>
                <w:lang w:val="en-US"/>
              </w:rPr>
              <w:t>).</w:t>
            </w:r>
          </w:p>
        </w:tc>
      </w:tr>
      <w:tr w:rsidR="00DF77FC" w:rsidRPr="006A2095" w:rsidTr="00D1231E">
        <w:tc>
          <w:tcPr>
            <w:tcW w:w="1280" w:type="dxa"/>
            <w:tcBorders>
              <w:top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top w:val="nil"/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TAILORING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9.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FE37BA">
              <w:rPr>
                <w:rFonts w:ascii="Arial" w:eastAsia="Calibri" w:hAnsi="Arial" w:cs="Arial"/>
                <w:bCs/>
                <w:lang w:val="en-US"/>
              </w:rPr>
              <w:t xml:space="preserve">General practitioners </w:t>
            </w:r>
            <w:proofErr w:type="spellStart"/>
            <w:r w:rsidRPr="00FE37BA">
              <w:rPr>
                <w:rFonts w:ascii="Arial" w:eastAsia="Calibri" w:hAnsi="Arial" w:cs="Arial"/>
                <w:bCs/>
                <w:lang w:val="en-US"/>
              </w:rPr>
              <w:t>personalised</w:t>
            </w:r>
            <w:proofErr w:type="spellEnd"/>
            <w:r w:rsidRPr="00FE37B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n-US"/>
              </w:rPr>
              <w:t>care</w:t>
            </w:r>
            <w:r w:rsidRPr="00FE37BA">
              <w:rPr>
                <w:rFonts w:ascii="Arial" w:eastAsia="Calibri" w:hAnsi="Arial" w:cs="Arial"/>
                <w:bCs/>
                <w:lang w:val="en-US"/>
              </w:rPr>
              <w:t xml:space="preserve"> to each patient participant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as per usual practice</w:t>
            </w:r>
            <w:r w:rsidRPr="00FE37BA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MODIFICATIONS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10.</w:t>
            </w:r>
            <w:r w:rsidRPr="006A2095">
              <w:rPr>
                <w:rFonts w:ascii="Arial" w:eastAsia="Times New Roman" w:hAnsi="Arial" w:cs="Arial"/>
                <w:b/>
                <w:bCs/>
                <w:color w:val="000000"/>
                <w:kern w:val="24"/>
                <w:vertAlign w:val="superscript"/>
                <w:lang w:val="en-GB" w:eastAsia="zh-CN"/>
              </w:rPr>
              <w:t>ǂ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FE37BA">
              <w:rPr>
                <w:rFonts w:ascii="Arial" w:eastAsia="Calibri" w:hAnsi="Arial" w:cs="Arial"/>
                <w:bCs/>
                <w:lang w:val="en-US"/>
              </w:rPr>
              <w:t xml:space="preserve">The </w:t>
            </w:r>
            <w:r>
              <w:rPr>
                <w:rFonts w:ascii="Arial" w:eastAsia="Calibri" w:hAnsi="Arial" w:cs="Arial"/>
                <w:bCs/>
                <w:lang w:val="en-US"/>
              </w:rPr>
              <w:t>control condition</w:t>
            </w:r>
            <w:r w:rsidRPr="00FE37BA">
              <w:rPr>
                <w:rFonts w:ascii="Arial" w:eastAsia="Calibri" w:hAnsi="Arial" w:cs="Arial"/>
                <w:bCs/>
                <w:lang w:val="en-US"/>
              </w:rPr>
              <w:t xml:space="preserve"> was not modified during the course of the study.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</w:rPr>
            </w:pPr>
            <w:r w:rsidRPr="006A2095">
              <w:rPr>
                <w:rFonts w:ascii="Arial" w:eastAsia="Calibri" w:hAnsi="Arial" w:cs="Arial"/>
                <w:b/>
              </w:rPr>
              <w:t>HOW WELL</w:t>
            </w:r>
          </w:p>
        </w:tc>
      </w:tr>
      <w:tr w:rsidR="00DF77FC" w:rsidRPr="006A2095" w:rsidTr="00D1231E">
        <w:tc>
          <w:tcPr>
            <w:tcW w:w="1280" w:type="dxa"/>
            <w:tcBorders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t>11.</w:t>
            </w:r>
          </w:p>
        </w:tc>
        <w:tc>
          <w:tcPr>
            <w:tcW w:w="8076" w:type="dxa"/>
            <w:tcBorders>
              <w:left w:val="nil"/>
              <w:right w:val="nil"/>
            </w:tcBorders>
          </w:tcPr>
          <w:p w:rsidR="00DF77FC" w:rsidRDefault="00DF77FC" w:rsidP="00D1231E">
            <w:pPr>
              <w:spacing w:after="200" w:line="360" w:lineRule="auto"/>
              <w:rPr>
                <w:rFonts w:ascii="Arial" w:eastAsia="Calibri" w:hAnsi="Arial" w:cs="Arial"/>
                <w:lang w:eastAsia="zh-CN"/>
              </w:rPr>
            </w:pPr>
            <w:r w:rsidRPr="006A2095">
              <w:rPr>
                <w:rFonts w:ascii="Arial" w:eastAsia="Calibri" w:hAnsi="Arial" w:cs="Arial"/>
                <w:lang w:eastAsia="zh-CN"/>
              </w:rPr>
              <w:t xml:space="preserve">Planned: </w:t>
            </w:r>
          </w:p>
          <w:p w:rsidR="00DF77FC" w:rsidRPr="00FE37BA" w:rsidRDefault="00DF77FC" w:rsidP="00D1231E">
            <w:pPr>
              <w:spacing w:after="200" w:line="360" w:lineRule="auto"/>
              <w:contextualSpacing/>
              <w:rPr>
                <w:rFonts w:ascii="Arial" w:eastAsia="Calibri" w:hAnsi="Arial" w:cs="Arial"/>
                <w:lang w:val="en-US" w:eastAsia="zh-CN"/>
              </w:rPr>
            </w:pPr>
            <w:r>
              <w:rPr>
                <w:rFonts w:ascii="Arial" w:eastAsia="Calibri" w:hAnsi="Arial" w:cs="Arial"/>
                <w:lang w:val="en-US" w:eastAsia="zh-CN"/>
              </w:rPr>
              <w:t>Control practice</w:t>
            </w:r>
            <w:r w:rsidRPr="00FE37BA">
              <w:rPr>
                <w:rFonts w:ascii="Arial" w:eastAsia="Calibri" w:hAnsi="Arial" w:cs="Arial"/>
                <w:lang w:val="en-US" w:eastAsia="zh-CN"/>
              </w:rPr>
              <w:t xml:space="preserve"> of general practitioners was assessed by:</w:t>
            </w:r>
          </w:p>
          <w:p w:rsidR="00DF77FC" w:rsidRPr="00FE37BA" w:rsidRDefault="00DF77FC" w:rsidP="00DF77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Arial" w:eastAsia="Calibri" w:hAnsi="Arial" w:cs="Arial"/>
                <w:lang w:val="en-US" w:eastAsia="zh-CN"/>
              </w:rPr>
            </w:pPr>
            <w:r w:rsidRPr="00FE37BA">
              <w:rPr>
                <w:rFonts w:ascii="Arial" w:eastAsia="Calibri" w:hAnsi="Arial" w:cs="Arial"/>
                <w:lang w:val="en-US" w:eastAsia="zh-CN"/>
              </w:rPr>
              <w:t xml:space="preserve">GP-recorded consultation content was </w:t>
            </w:r>
            <w:r w:rsidRPr="00FE37BA">
              <w:rPr>
                <w:rFonts w:ascii="Arial" w:eastAsia="Calibri" w:hAnsi="Arial" w:cs="Arial"/>
                <w:lang w:val="en-GB" w:eastAsia="zh-CN"/>
              </w:rPr>
              <w:t>coded by research nurses from electronic consultation notes using a structured template</w:t>
            </w:r>
            <w:r w:rsidRPr="00FE37BA">
              <w:rPr>
                <w:rFonts w:ascii="Arial" w:eastAsia="Calibri" w:hAnsi="Arial" w:cs="Arial"/>
                <w:lang w:val="en-US" w:eastAsia="zh-CN"/>
              </w:rPr>
              <w:t xml:space="preserve"> </w:t>
            </w:r>
          </w:p>
          <w:p w:rsidR="00DF77FC" w:rsidRPr="00FE37BA" w:rsidRDefault="00DF77FC" w:rsidP="00DF77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Arial" w:eastAsia="Calibri" w:hAnsi="Arial" w:cs="Arial"/>
                <w:lang w:val="en-US" w:eastAsia="zh-CN"/>
              </w:rPr>
            </w:pPr>
            <w:r w:rsidRPr="00FE37BA">
              <w:rPr>
                <w:rFonts w:ascii="Arial" w:eastAsia="Calibri" w:hAnsi="Arial" w:cs="Arial"/>
                <w:lang w:val="en-GB" w:eastAsia="zh-CN"/>
              </w:rPr>
              <w:t>Patient report of GP recommendations collected from the patients in their post-consultation data collection questionnaire</w:t>
            </w:r>
          </w:p>
          <w:p w:rsidR="00DF77FC" w:rsidRPr="006A2095" w:rsidRDefault="00DF77FC" w:rsidP="00DF77FC">
            <w:pPr>
              <w:numPr>
                <w:ilvl w:val="0"/>
                <w:numId w:val="2"/>
              </w:numPr>
              <w:spacing w:after="200" w:line="360" w:lineRule="auto"/>
              <w:rPr>
                <w:rFonts w:ascii="Arial" w:eastAsia="Calibri" w:hAnsi="Arial" w:cs="Arial"/>
                <w:lang w:val="en-US" w:eastAsia="zh-CN"/>
              </w:rPr>
            </w:pPr>
            <w:r w:rsidRPr="00FE37BA">
              <w:rPr>
                <w:rFonts w:ascii="Arial" w:eastAsia="Calibri" w:hAnsi="Arial" w:cs="Arial"/>
                <w:lang w:val="en-US" w:eastAsia="zh-CN"/>
              </w:rPr>
              <w:lastRenderedPageBreak/>
              <w:t xml:space="preserve">Audio-recording of consultations. </w:t>
            </w:r>
            <w:r w:rsidRPr="00FE37BA">
              <w:rPr>
                <w:rFonts w:ascii="Arial" w:eastAsia="Calibri" w:hAnsi="Arial" w:cs="Arial"/>
                <w:lang w:val="en-GB" w:eastAsia="zh-CN"/>
              </w:rPr>
              <w:t xml:space="preserve">One audio-recording was randomly selected for each GP who had consented to audio-recording </w:t>
            </w:r>
            <w:r w:rsidRPr="00FE37BA">
              <w:rPr>
                <w:rFonts w:ascii="Arial" w:eastAsia="Calibri" w:hAnsi="Arial" w:cs="Arial"/>
                <w:u w:val="single"/>
                <w:lang w:val="en-GB" w:eastAsia="zh-CN"/>
              </w:rPr>
              <w:t>and</w:t>
            </w:r>
            <w:r w:rsidRPr="00FE37BA">
              <w:rPr>
                <w:rFonts w:ascii="Arial" w:eastAsia="Calibri" w:hAnsi="Arial" w:cs="Arial"/>
                <w:lang w:val="en-GB" w:eastAsia="zh-CN"/>
              </w:rPr>
              <w:t xml:space="preserve"> treated at least one patient participant who had also consented to recording. Recordings were analysed using a structured checklist containing multiple consultation behaviour items.</w:t>
            </w:r>
          </w:p>
        </w:tc>
      </w:tr>
      <w:tr w:rsidR="00DF77FC" w:rsidRPr="006A2095" w:rsidTr="00D1231E">
        <w:tc>
          <w:tcPr>
            <w:tcW w:w="1280" w:type="dxa"/>
            <w:tcBorders>
              <w:bottom w:val="single" w:sz="4" w:space="0" w:color="auto"/>
              <w:right w:val="nil"/>
            </w:tcBorders>
          </w:tcPr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6A2095">
              <w:rPr>
                <w:rFonts w:ascii="Arial" w:eastAsia="Calibri" w:hAnsi="Arial" w:cs="Arial"/>
                <w:b/>
                <w:bCs/>
              </w:rPr>
              <w:lastRenderedPageBreak/>
              <w:t>12.</w:t>
            </w:r>
            <w:r w:rsidRPr="006A2095">
              <w:rPr>
                <w:rFonts w:ascii="Arial" w:eastAsia="Times New Roman" w:hAnsi="Arial" w:cs="Arial"/>
                <w:b/>
                <w:bCs/>
                <w:color w:val="000000"/>
                <w:kern w:val="24"/>
                <w:vertAlign w:val="superscript"/>
                <w:lang w:val="en-GB" w:eastAsia="zh-CN"/>
              </w:rPr>
              <w:t>ǂ</w:t>
            </w:r>
          </w:p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076" w:type="dxa"/>
            <w:tcBorders>
              <w:left w:val="nil"/>
              <w:bottom w:val="single" w:sz="4" w:space="0" w:color="auto"/>
              <w:right w:val="nil"/>
            </w:tcBorders>
          </w:tcPr>
          <w:p w:rsidR="00DF77FC" w:rsidRPr="005152A5" w:rsidRDefault="00DF77FC" w:rsidP="00D1231E">
            <w:pPr>
              <w:spacing w:after="200" w:line="360" w:lineRule="auto"/>
              <w:rPr>
                <w:rFonts w:ascii="Arial" w:eastAsia="Calibri" w:hAnsi="Arial" w:cs="Arial"/>
                <w:bCs/>
                <w:iCs/>
              </w:rPr>
            </w:pPr>
            <w:r w:rsidRPr="006A2095">
              <w:rPr>
                <w:rFonts w:ascii="Arial" w:eastAsia="Calibri" w:hAnsi="Arial" w:cs="Arial"/>
                <w:bCs/>
                <w:iCs/>
              </w:rPr>
              <w:t xml:space="preserve">Actual: </w:t>
            </w:r>
          </w:p>
          <w:p w:rsidR="00DF77FC" w:rsidRPr="0035696F" w:rsidRDefault="00DF77FC" w:rsidP="00D1231E">
            <w:pPr>
              <w:spacing w:after="200" w:line="360" w:lineRule="auto"/>
              <w:rPr>
                <w:rFonts w:ascii="Arial" w:eastAsia="Calibri" w:hAnsi="Arial" w:cs="Arial"/>
                <w:lang w:val="en-GB"/>
              </w:rPr>
            </w:pPr>
            <w:r w:rsidRPr="0035696F">
              <w:rPr>
                <w:rFonts w:ascii="Arial" w:eastAsia="Calibri" w:hAnsi="Arial" w:cs="Arial"/>
                <w:lang w:val="en-GB"/>
              </w:rPr>
              <w:t xml:space="preserve">Analysis of GP clinical notes and patient report post-consultation found that </w:t>
            </w:r>
            <w:r>
              <w:rPr>
                <w:rFonts w:ascii="Arial" w:eastAsia="Calibri" w:hAnsi="Arial" w:cs="Arial"/>
                <w:lang w:val="en-GB"/>
              </w:rPr>
              <w:t>control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 arm GPs delivered </w:t>
            </w:r>
            <w:r>
              <w:rPr>
                <w:rFonts w:ascii="Arial" w:eastAsia="Calibri" w:hAnsi="Arial" w:cs="Arial"/>
                <w:lang w:val="en-GB"/>
              </w:rPr>
              <w:t>less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 guideline consistent care than </w:t>
            </w:r>
            <w:r>
              <w:rPr>
                <w:rFonts w:ascii="Arial" w:eastAsia="Calibri" w:hAnsi="Arial" w:cs="Arial"/>
                <w:lang w:val="en-GB"/>
              </w:rPr>
              <w:t>interventions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 arm GPs. Patients who saw </w:t>
            </w:r>
            <w:r>
              <w:rPr>
                <w:rFonts w:ascii="Arial" w:eastAsia="Calibri" w:hAnsi="Arial" w:cs="Arial"/>
                <w:lang w:val="en-GB"/>
              </w:rPr>
              <w:t>control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 arm GPs were </w:t>
            </w:r>
            <w:r>
              <w:rPr>
                <w:rFonts w:ascii="Arial" w:eastAsia="Calibri" w:hAnsi="Arial" w:cs="Arial"/>
                <w:lang w:val="en-GB"/>
              </w:rPr>
              <w:t>less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 likely to report receiving advice to continue with normal activity (</w:t>
            </w:r>
            <w:r>
              <w:rPr>
                <w:rFonts w:ascii="Arial" w:eastAsia="Calibri" w:hAnsi="Arial" w:cs="Arial"/>
                <w:lang w:val="en-GB"/>
              </w:rPr>
              <w:t xml:space="preserve">intervention - 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68·6%, 60·8 to 75·5 vs. 43·7%, </w:t>
            </w:r>
            <w:r>
              <w:rPr>
                <w:rFonts w:ascii="Arial" w:eastAsia="Calibri" w:hAnsi="Arial" w:cs="Arial"/>
                <w:lang w:val="en-GB"/>
              </w:rPr>
              <w:t xml:space="preserve">control - 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32·9 to 55·0) and </w:t>
            </w:r>
            <w:r>
              <w:rPr>
                <w:rFonts w:ascii="Arial" w:eastAsia="Calibri" w:hAnsi="Arial" w:cs="Arial"/>
                <w:lang w:val="en-GB"/>
              </w:rPr>
              <w:t xml:space="preserve">more </w:t>
            </w:r>
            <w:r w:rsidRPr="0035696F">
              <w:rPr>
                <w:rFonts w:ascii="Arial" w:eastAsia="Calibri" w:hAnsi="Arial" w:cs="Arial"/>
                <w:lang w:val="en-GB"/>
              </w:rPr>
              <w:t>likely to report being referred for physiotherapy/osteopathy/chiropractic/acupuncture (</w:t>
            </w:r>
            <w:r>
              <w:rPr>
                <w:rFonts w:ascii="Arial" w:eastAsia="Calibri" w:hAnsi="Arial" w:cs="Arial"/>
                <w:lang w:val="en-GB"/>
              </w:rPr>
              <w:t xml:space="preserve">intervention - 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24·6%, 16·4 to 35·1 vs. </w:t>
            </w:r>
            <w:r>
              <w:rPr>
                <w:rFonts w:ascii="Arial" w:eastAsia="Calibri" w:hAnsi="Arial" w:cs="Arial"/>
                <w:lang w:val="en-GB"/>
              </w:rPr>
              <w:t xml:space="preserve">control - </w:t>
            </w:r>
            <w:r w:rsidRPr="0035696F">
              <w:rPr>
                <w:rFonts w:ascii="Arial" w:eastAsia="Calibri" w:hAnsi="Arial" w:cs="Arial"/>
                <w:lang w:val="en-GB"/>
              </w:rPr>
              <w:t xml:space="preserve">68·0%, 58·2 to 76·4) (see supplementary appendix for more detail). </w:t>
            </w:r>
          </w:p>
          <w:p w:rsidR="00DF77FC" w:rsidRPr="006A2095" w:rsidRDefault="00DF77FC" w:rsidP="00D1231E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35696F">
              <w:rPr>
                <w:rFonts w:ascii="Arial" w:eastAsia="Calibri" w:hAnsi="Arial" w:cs="Arial"/>
                <w:lang w:val="en-GB"/>
              </w:rPr>
              <w:t>Blinded analysis of one randomly selected audio-recording for each recruiting GP with available recordings found that 82.6% (61·2 to 95·0) of intervention GPs met the predefined threshold for FREE concordance compared with 0% (0·0 to 11·7) of control group GPs (see supplementary appendix for more detail).</w:t>
            </w:r>
          </w:p>
        </w:tc>
      </w:tr>
    </w:tbl>
    <w:p w:rsidR="00DF77FC" w:rsidRPr="006A2095" w:rsidRDefault="00DF77FC" w:rsidP="00DF77FC">
      <w:pPr>
        <w:rPr>
          <w:lang w:val="en-AU"/>
        </w:rPr>
      </w:pPr>
    </w:p>
    <w:p w:rsidR="00DF77FC" w:rsidRDefault="00DF77FC">
      <w:pPr>
        <w:rPr>
          <w:b/>
          <w:lang w:val="en-AU"/>
        </w:rPr>
      </w:pPr>
      <w:r>
        <w:rPr>
          <w:b/>
          <w:lang w:val="en-AU"/>
        </w:rPr>
        <w:t>REFERENCE</w:t>
      </w:r>
    </w:p>
    <w:p w:rsidR="00DF77FC" w:rsidRPr="00DF77FC" w:rsidRDefault="00DF77FC">
      <w:pPr>
        <w:rPr>
          <w:lang w:val="en-AU"/>
        </w:rPr>
      </w:pPr>
      <w:r w:rsidRPr="00DF77FC">
        <w:rPr>
          <w:lang w:val="en-AU"/>
        </w:rPr>
        <w:t xml:space="preserve">Hoffmann T, </w:t>
      </w:r>
      <w:proofErr w:type="spellStart"/>
      <w:r w:rsidRPr="00DF77FC">
        <w:rPr>
          <w:lang w:val="en-AU"/>
        </w:rPr>
        <w:t>Glasziou</w:t>
      </w:r>
      <w:proofErr w:type="spellEnd"/>
      <w:r w:rsidRPr="00DF77FC">
        <w:rPr>
          <w:lang w:val="en-AU"/>
        </w:rPr>
        <w:t xml:space="preserve"> P, </w:t>
      </w:r>
      <w:proofErr w:type="spellStart"/>
      <w:r w:rsidRPr="00DF77FC">
        <w:rPr>
          <w:lang w:val="en-AU"/>
        </w:rPr>
        <w:t>Boutron</w:t>
      </w:r>
      <w:proofErr w:type="spellEnd"/>
      <w:r w:rsidRPr="00DF77FC">
        <w:rPr>
          <w:lang w:val="en-AU"/>
        </w:rPr>
        <w:t xml:space="preserve"> I, Milne R, Perera R, Moher D, Altman D, Barbour V, Macdonald H, Johnston M, Lamb S, Dixon-Woods M, McCulloch P, Wyatt J, Chan A, </w:t>
      </w:r>
      <w:proofErr w:type="spellStart"/>
      <w:r w:rsidRPr="00DF77FC">
        <w:rPr>
          <w:lang w:val="en-AU"/>
        </w:rPr>
        <w:t>Michie</w:t>
      </w:r>
      <w:proofErr w:type="spellEnd"/>
      <w:r w:rsidRPr="00DF77FC">
        <w:rPr>
          <w:lang w:val="en-AU"/>
        </w:rPr>
        <w:t xml:space="preserve"> S. Better reporting of interventions: template for intervention description and replication (</w:t>
      </w:r>
      <w:proofErr w:type="spellStart"/>
      <w:r w:rsidRPr="00DF77FC">
        <w:rPr>
          <w:lang w:val="en-AU"/>
        </w:rPr>
        <w:t>TIDieR</w:t>
      </w:r>
      <w:proofErr w:type="spellEnd"/>
      <w:r w:rsidRPr="00DF77FC">
        <w:rPr>
          <w:lang w:val="en-AU"/>
        </w:rPr>
        <w:t xml:space="preserve">) checklist and guide. </w:t>
      </w:r>
      <w:proofErr w:type="gramStart"/>
      <w:r w:rsidRPr="00DF77FC">
        <w:rPr>
          <w:lang w:val="en-AU"/>
        </w:rPr>
        <w:t>BMJ.</w:t>
      </w:r>
      <w:proofErr w:type="gramEnd"/>
      <w:r w:rsidRPr="00DF77FC">
        <w:rPr>
          <w:lang w:val="en-AU"/>
        </w:rPr>
        <w:t xml:space="preserve"> 2014</w:t>
      </w:r>
      <w:proofErr w:type="gramStart"/>
      <w:r w:rsidRPr="00DF77FC">
        <w:rPr>
          <w:lang w:val="en-AU"/>
        </w:rPr>
        <w:t>;348:g1687</w:t>
      </w:r>
      <w:proofErr w:type="gramEnd"/>
      <w:r w:rsidRPr="00DF77FC">
        <w:rPr>
          <w:lang w:val="en-AU"/>
        </w:rPr>
        <w:t>.</w:t>
      </w:r>
    </w:p>
    <w:sectPr w:rsidR="00DF77FC" w:rsidRPr="00DF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805"/>
    <w:multiLevelType w:val="hybridMultilevel"/>
    <w:tmpl w:val="BEA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0039"/>
    <w:multiLevelType w:val="hybridMultilevel"/>
    <w:tmpl w:val="F5D6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FC"/>
    <w:rsid w:val="00453CEE"/>
    <w:rsid w:val="0062469C"/>
    <w:rsid w:val="007009D6"/>
    <w:rsid w:val="00715BFA"/>
    <w:rsid w:val="008D188F"/>
    <w:rsid w:val="00AB5DCA"/>
    <w:rsid w:val="00D027BB"/>
    <w:rsid w:val="00DF77FC"/>
    <w:rsid w:val="00F549EF"/>
    <w:rsid w:val="00FA72DE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77F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77F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Darlow</dc:creator>
  <cp:lastModifiedBy>Frank-man</cp:lastModifiedBy>
  <cp:revision>2</cp:revision>
  <dcterms:created xsi:type="dcterms:W3CDTF">2019-09-11T02:13:00Z</dcterms:created>
  <dcterms:modified xsi:type="dcterms:W3CDTF">2019-09-11T02:13:00Z</dcterms:modified>
</cp:coreProperties>
</file>