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4757D" w14:textId="77777777" w:rsidR="000E0723" w:rsidRPr="00FF233F" w:rsidRDefault="000E0723" w:rsidP="000E0723">
      <w:pPr>
        <w:rPr>
          <w:rFonts w:eastAsia="Times New Roman"/>
          <w:sz w:val="24"/>
          <w:szCs w:val="24"/>
        </w:rPr>
      </w:pPr>
      <w:r w:rsidRPr="00FF233F">
        <w:rPr>
          <w:rFonts w:eastAsia="Times New Roman"/>
          <w:sz w:val="24"/>
          <w:szCs w:val="24"/>
        </w:rPr>
        <w:t xml:space="preserve">STROBE/RECORD methods checklist </w:t>
      </w:r>
      <w:r w:rsidRPr="00FF233F">
        <w:rPr>
          <w:rFonts w:eastAsia="Times New Roman"/>
          <w:sz w:val="24"/>
          <w:szCs w:val="24"/>
          <w:vertAlign w:val="superscript"/>
        </w:rPr>
        <w:t>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6025"/>
      </w:tblGrid>
      <w:tr w:rsidR="000E0723" w:rsidRPr="00943D77" w14:paraId="3CE17CFF" w14:textId="77777777" w:rsidTr="00FF233F">
        <w:tc>
          <w:tcPr>
            <w:tcW w:w="3325" w:type="dxa"/>
          </w:tcPr>
          <w:p w14:paraId="19BC10DB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Methods</w:t>
            </w:r>
          </w:p>
        </w:tc>
        <w:tc>
          <w:tcPr>
            <w:tcW w:w="6025" w:type="dxa"/>
          </w:tcPr>
          <w:p w14:paraId="5EDF703B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E0723" w:rsidRPr="00943D77" w14:paraId="5390BCFD" w14:textId="77777777" w:rsidTr="00FF233F">
        <w:tc>
          <w:tcPr>
            <w:tcW w:w="3325" w:type="dxa"/>
          </w:tcPr>
          <w:p w14:paraId="31851C41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Study design</w:t>
            </w:r>
          </w:p>
        </w:tc>
        <w:tc>
          <w:tcPr>
            <w:tcW w:w="6025" w:type="dxa"/>
          </w:tcPr>
          <w:p w14:paraId="5A99A661" w14:textId="0866B042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Retrospective</w:t>
            </w:r>
            <w:r w:rsidR="00240BAD">
              <w:rPr>
                <w:rFonts w:eastAsia="Times New Roman"/>
                <w:sz w:val="24"/>
                <w:szCs w:val="24"/>
              </w:rPr>
              <w:t xml:space="preserve"> cohort</w:t>
            </w:r>
            <w:r w:rsidRPr="00FF233F">
              <w:rPr>
                <w:rFonts w:eastAsia="Times New Roman"/>
                <w:sz w:val="24"/>
                <w:szCs w:val="24"/>
              </w:rPr>
              <w:t xml:space="preserve"> analysis of insurance claims </w:t>
            </w:r>
          </w:p>
        </w:tc>
      </w:tr>
      <w:tr w:rsidR="000E0723" w:rsidRPr="00943D77" w14:paraId="723A213A" w14:textId="77777777" w:rsidTr="00FF233F">
        <w:tc>
          <w:tcPr>
            <w:tcW w:w="3325" w:type="dxa"/>
          </w:tcPr>
          <w:p w14:paraId="72AF295F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Setting</w:t>
            </w:r>
          </w:p>
        </w:tc>
        <w:tc>
          <w:tcPr>
            <w:tcW w:w="6025" w:type="dxa"/>
          </w:tcPr>
          <w:p w14:paraId="44D31E31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Claims generated by insured members of a single, self-insured fortune 500 company covering approximately 50,000 individuals with a geographic location including various states in the southern US</w:t>
            </w:r>
          </w:p>
        </w:tc>
      </w:tr>
      <w:tr w:rsidR="000E0723" w:rsidRPr="00943D77" w14:paraId="4621AB80" w14:textId="77777777" w:rsidTr="00FF233F">
        <w:tc>
          <w:tcPr>
            <w:tcW w:w="3325" w:type="dxa"/>
          </w:tcPr>
          <w:p w14:paraId="3B19AFB2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Participants</w:t>
            </w:r>
          </w:p>
        </w:tc>
        <w:tc>
          <w:tcPr>
            <w:tcW w:w="6025" w:type="dxa"/>
          </w:tcPr>
          <w:p w14:paraId="637622CB" w14:textId="169DFDEE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 xml:space="preserve">Covered individuals aged </w:t>
            </w:r>
            <w:r w:rsidRPr="00FF233F">
              <w:rPr>
                <w:rFonts w:eastAsia="Times New Roman"/>
                <w:sz w:val="24"/>
                <w:szCs w:val="24"/>
                <w:u w:val="single"/>
              </w:rPr>
              <w:t>&gt;</w:t>
            </w:r>
            <w:r w:rsidRPr="00FF233F">
              <w:rPr>
                <w:rFonts w:eastAsia="Times New Roman"/>
                <w:sz w:val="24"/>
                <w:szCs w:val="24"/>
              </w:rPr>
              <w:t xml:space="preserve">18 with a primary </w:t>
            </w:r>
            <w:r w:rsidR="005B3744">
              <w:rPr>
                <w:rFonts w:eastAsia="Times New Roman"/>
                <w:sz w:val="24"/>
                <w:szCs w:val="24"/>
              </w:rPr>
              <w:t>back pain</w:t>
            </w:r>
            <w:r w:rsidRPr="00FF233F">
              <w:rPr>
                <w:rFonts w:eastAsia="Times New Roman"/>
                <w:sz w:val="24"/>
                <w:szCs w:val="24"/>
              </w:rPr>
              <w:t xml:space="preserve"> </w:t>
            </w:r>
            <w:r w:rsidR="005B3744">
              <w:rPr>
                <w:rFonts w:eastAsia="Times New Roman"/>
                <w:sz w:val="24"/>
                <w:szCs w:val="24"/>
              </w:rPr>
              <w:t>related</w:t>
            </w:r>
            <w:r w:rsidRPr="00FF233F">
              <w:rPr>
                <w:rFonts w:eastAsia="Times New Roman"/>
                <w:sz w:val="24"/>
                <w:szCs w:val="24"/>
              </w:rPr>
              <w:t xml:space="preserve"> diagnosis.  Patients with diagnoses related to cancer, fracture, infection or inflammatory spondylopathy are not included in the dataset.  </w:t>
            </w:r>
            <w:r w:rsidR="005B3744">
              <w:rPr>
                <w:rFonts w:eastAsia="Times New Roman"/>
                <w:sz w:val="24"/>
                <w:szCs w:val="24"/>
              </w:rPr>
              <w:t>Included ICD-9 and ICD-10 diagnoses are listed in appendix 1</w:t>
            </w:r>
          </w:p>
        </w:tc>
      </w:tr>
      <w:tr w:rsidR="000E0723" w:rsidRPr="00943D77" w14:paraId="7294743D" w14:textId="77777777" w:rsidTr="00FF233F">
        <w:tc>
          <w:tcPr>
            <w:tcW w:w="3325" w:type="dxa"/>
          </w:tcPr>
          <w:p w14:paraId="14BD1A9B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Variables</w:t>
            </w:r>
          </w:p>
        </w:tc>
        <w:tc>
          <w:tcPr>
            <w:tcW w:w="6025" w:type="dxa"/>
          </w:tcPr>
          <w:p w14:paraId="35B25C43" w14:textId="77777777" w:rsidR="000E0723" w:rsidRPr="00FF233F" w:rsidRDefault="000E0723" w:rsidP="000E072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 xml:space="preserve">Episode of care= 90 day claim free period before and after first and last claim, respectively </w:t>
            </w:r>
          </w:p>
          <w:p w14:paraId="168A59C6" w14:textId="77777777" w:rsidR="000E0723" w:rsidRPr="00FF233F" w:rsidRDefault="000E0723" w:rsidP="000E072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Age= age at first visit of episode 1</w:t>
            </w:r>
          </w:p>
          <w:p w14:paraId="54A2B5D4" w14:textId="77777777" w:rsidR="000E0723" w:rsidRPr="00FF233F" w:rsidRDefault="000E0723" w:rsidP="000E072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Gender= male/female</w:t>
            </w:r>
          </w:p>
          <w:p w14:paraId="01266900" w14:textId="76C54851" w:rsidR="000E0723" w:rsidRPr="00FF233F" w:rsidRDefault="006A1961" w:rsidP="000E072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 w:rsidRPr="00BB543E">
              <w:rPr>
                <w:rFonts w:eastAsia="Times New Roman"/>
                <w:sz w:val="24"/>
                <w:szCs w:val="24"/>
              </w:rPr>
              <w:t>Spinal manipulati</w:t>
            </w:r>
            <w:r w:rsidR="00F828B2">
              <w:rPr>
                <w:rFonts w:eastAsia="Times New Roman"/>
                <w:sz w:val="24"/>
                <w:szCs w:val="24"/>
              </w:rPr>
              <w:t>ve therapy</w:t>
            </w:r>
            <w:r w:rsidR="00420738">
              <w:rPr>
                <w:rFonts w:eastAsia="Times New Roman"/>
                <w:sz w:val="24"/>
                <w:szCs w:val="24"/>
              </w:rPr>
              <w:t xml:space="preserve"> (SMT)</w:t>
            </w:r>
            <w:r w:rsidR="000E0723" w:rsidRPr="00FF233F">
              <w:rPr>
                <w:rFonts w:eastAsia="Times New Roman"/>
                <w:sz w:val="24"/>
                <w:szCs w:val="24"/>
              </w:rPr>
              <w:t xml:space="preserve"> = presence of any CPT code in the range 98940-9894</w:t>
            </w:r>
            <w:r w:rsidR="00BB543E">
              <w:rPr>
                <w:rFonts w:eastAsia="Times New Roman"/>
                <w:sz w:val="24"/>
                <w:szCs w:val="24"/>
              </w:rPr>
              <w:t>2</w:t>
            </w:r>
            <w:r w:rsidR="000E0723" w:rsidRPr="00FF233F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3996D674" w14:textId="1A75FA87" w:rsidR="000E0723" w:rsidRDefault="00420738" w:rsidP="000E072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SMT</w:t>
            </w:r>
            <w:r w:rsidR="00624E67">
              <w:rPr>
                <w:rFonts w:eastAsia="Times New Roman"/>
                <w:sz w:val="24"/>
                <w:szCs w:val="24"/>
              </w:rPr>
              <w:t xml:space="preserve"> dose cohorts</w:t>
            </w:r>
          </w:p>
          <w:p w14:paraId="16CDA05C" w14:textId="7F0AFE90" w:rsidR="000B3604" w:rsidRDefault="00CF5F54" w:rsidP="000B3604">
            <w:pPr>
              <w:pStyle w:val="ListParagraph"/>
              <w:ind w:left="3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SMT=one CPT code (98940-98942) during episode 1</w:t>
            </w:r>
          </w:p>
          <w:p w14:paraId="63D4C90E" w14:textId="6392C1FA" w:rsidR="00CF5F54" w:rsidRDefault="00CF5F54" w:rsidP="000B3604">
            <w:pPr>
              <w:pStyle w:val="ListParagraph"/>
              <w:ind w:left="3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2-12 SMT= </w:t>
            </w:r>
            <w:r w:rsidR="00853716">
              <w:rPr>
                <w:rFonts w:eastAsia="Times New Roman"/>
                <w:sz w:val="24"/>
                <w:szCs w:val="24"/>
              </w:rPr>
              <w:t>2-12 CPT codes (98940-98942) during episode 1</w:t>
            </w:r>
          </w:p>
          <w:p w14:paraId="166684BD" w14:textId="34CCF11F" w:rsidR="008F5C59" w:rsidRDefault="00853716" w:rsidP="008F5C59">
            <w:pPr>
              <w:pStyle w:val="ListParagraph"/>
              <w:ind w:left="3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13+= 13 or more CPT codes (98940-98942) during episode 1</w:t>
            </w:r>
          </w:p>
          <w:p w14:paraId="354AF027" w14:textId="61ADB3A9" w:rsidR="008F5C59" w:rsidRPr="008F5C59" w:rsidRDefault="00DF37B6" w:rsidP="008F5C59">
            <w:pPr>
              <w:pStyle w:val="ListParagraph"/>
              <w:ind w:left="36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Control group= No SMT</w:t>
            </w:r>
          </w:p>
          <w:p w14:paraId="6AADF57C" w14:textId="782FE79E" w:rsidR="000E0723" w:rsidRPr="00FF233F" w:rsidRDefault="000E0723" w:rsidP="000E072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 xml:space="preserve">Imaging = </w:t>
            </w:r>
            <w:r w:rsidRPr="00FF233F">
              <w:rPr>
                <w:sz w:val="24"/>
                <w:szCs w:val="24"/>
              </w:rPr>
              <w:t xml:space="preserve">CPT codes </w:t>
            </w:r>
            <w:r w:rsidR="00723DED">
              <w:rPr>
                <w:sz w:val="24"/>
                <w:szCs w:val="24"/>
              </w:rPr>
              <w:t>provided in Appendix 1</w:t>
            </w:r>
          </w:p>
          <w:p w14:paraId="2EAF7715" w14:textId="24C699F9" w:rsidR="000E0723" w:rsidRPr="00FF233F" w:rsidRDefault="000E0723" w:rsidP="000E072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 w:rsidRPr="00FF233F">
              <w:rPr>
                <w:sz w:val="24"/>
                <w:szCs w:val="24"/>
              </w:rPr>
              <w:t xml:space="preserve">Injection= </w:t>
            </w:r>
            <w:r w:rsidR="00723DED" w:rsidRPr="00FF233F">
              <w:rPr>
                <w:sz w:val="24"/>
                <w:szCs w:val="24"/>
              </w:rPr>
              <w:t xml:space="preserve">CPT codes </w:t>
            </w:r>
            <w:r w:rsidR="00723DED">
              <w:rPr>
                <w:sz w:val="24"/>
                <w:szCs w:val="24"/>
              </w:rPr>
              <w:t>provided in Appendix 1</w:t>
            </w:r>
          </w:p>
          <w:p w14:paraId="46F2B29C" w14:textId="7AAAA9AD" w:rsidR="000E0723" w:rsidRPr="003A1B14" w:rsidRDefault="000E0723" w:rsidP="000E072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 w:rsidRPr="00FF233F">
              <w:rPr>
                <w:sz w:val="24"/>
                <w:szCs w:val="24"/>
              </w:rPr>
              <w:t xml:space="preserve">Surgery= </w:t>
            </w:r>
            <w:r w:rsidR="00723DED" w:rsidRPr="00FF233F">
              <w:rPr>
                <w:sz w:val="24"/>
                <w:szCs w:val="24"/>
              </w:rPr>
              <w:t xml:space="preserve">CPT codes </w:t>
            </w:r>
            <w:r w:rsidR="00723DED">
              <w:rPr>
                <w:sz w:val="24"/>
                <w:szCs w:val="24"/>
              </w:rPr>
              <w:t>provided in Appendix 1</w:t>
            </w:r>
          </w:p>
          <w:p w14:paraId="003C52E1" w14:textId="6E5204A5" w:rsidR="003A1B14" w:rsidRPr="003A1B14" w:rsidRDefault="003A1B14" w:rsidP="000E072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Emergency Department= </w:t>
            </w:r>
            <w:r w:rsidRPr="00FF233F">
              <w:rPr>
                <w:sz w:val="24"/>
                <w:szCs w:val="24"/>
              </w:rPr>
              <w:t xml:space="preserve">CPT codes </w:t>
            </w:r>
            <w:r>
              <w:rPr>
                <w:sz w:val="24"/>
                <w:szCs w:val="24"/>
              </w:rPr>
              <w:t>provided in Appendix 1</w:t>
            </w:r>
          </w:p>
          <w:p w14:paraId="5B89285F" w14:textId="1B636E12" w:rsidR="003A1B14" w:rsidRPr="00EF59DA" w:rsidRDefault="003A1B14" w:rsidP="000E072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Opioid</w:t>
            </w:r>
            <w:r w:rsidR="0033359F">
              <w:rPr>
                <w:rFonts w:eastAsia="Times New Roman"/>
                <w:sz w:val="24"/>
                <w:szCs w:val="24"/>
              </w:rPr>
              <w:t>s= see Appendix 1</w:t>
            </w:r>
          </w:p>
          <w:p w14:paraId="2550B1FA" w14:textId="4520FDC7" w:rsidR="00EF59DA" w:rsidRPr="00FF233F" w:rsidRDefault="00EF59DA" w:rsidP="000E072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Escalat</w:t>
            </w:r>
            <w:r w:rsidR="00361D83">
              <w:rPr>
                <w:rFonts w:eastAsia="Times New Roman"/>
                <w:sz w:val="24"/>
                <w:szCs w:val="24"/>
              </w:rPr>
              <w:t>ed spine care</w:t>
            </w:r>
            <w:r>
              <w:rPr>
                <w:rFonts w:eastAsia="Times New Roman"/>
                <w:sz w:val="24"/>
                <w:szCs w:val="24"/>
              </w:rPr>
              <w:t xml:space="preserve"> = presence of any </w:t>
            </w:r>
            <w:r w:rsidR="00490FC8">
              <w:rPr>
                <w:rFonts w:eastAsia="Times New Roman"/>
                <w:sz w:val="24"/>
                <w:szCs w:val="24"/>
              </w:rPr>
              <w:t>procedure (</w:t>
            </w:r>
            <w:r w:rsidR="00A908C2">
              <w:rPr>
                <w:rFonts w:eastAsia="Times New Roman"/>
                <w:sz w:val="24"/>
                <w:szCs w:val="24"/>
              </w:rPr>
              <w:t>6</w:t>
            </w:r>
            <w:r w:rsidR="00490FC8">
              <w:rPr>
                <w:rFonts w:eastAsia="Times New Roman"/>
                <w:sz w:val="24"/>
                <w:szCs w:val="24"/>
              </w:rPr>
              <w:t>-1</w:t>
            </w:r>
            <w:r w:rsidR="00A908C2">
              <w:rPr>
                <w:rFonts w:eastAsia="Times New Roman"/>
                <w:sz w:val="24"/>
                <w:szCs w:val="24"/>
              </w:rPr>
              <w:t>0</w:t>
            </w:r>
            <w:r w:rsidR="00490FC8">
              <w:rPr>
                <w:rFonts w:eastAsia="Times New Roman"/>
                <w:sz w:val="24"/>
                <w:szCs w:val="24"/>
              </w:rPr>
              <w:t xml:space="preserve">) above </w:t>
            </w:r>
          </w:p>
          <w:p w14:paraId="67BAD67F" w14:textId="4047A166" w:rsidR="000E0723" w:rsidRPr="00FF233F" w:rsidRDefault="000E0723" w:rsidP="000E072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 xml:space="preserve">Retrospective risk score (R.Risk)= proprietary score calculated based on demographics, medical/pharmacy claims for the year prior to initial visit for episode 1.  </w:t>
            </w:r>
            <w:r w:rsidR="00AD7DD5">
              <w:rPr>
                <w:rFonts w:eastAsia="Times New Roman"/>
                <w:sz w:val="24"/>
                <w:szCs w:val="24"/>
              </w:rPr>
              <w:t>M</w:t>
            </w:r>
            <w:r w:rsidR="00DF37B6">
              <w:rPr>
                <w:rFonts w:eastAsia="Times New Roman"/>
                <w:sz w:val="24"/>
                <w:szCs w:val="24"/>
              </w:rPr>
              <w:t>ean</w:t>
            </w:r>
            <w:r w:rsidR="00AD7DD5">
              <w:rPr>
                <w:rFonts w:eastAsia="Times New Roman"/>
                <w:sz w:val="24"/>
                <w:szCs w:val="24"/>
              </w:rPr>
              <w:t xml:space="preserve"> R.Risk score was used for analysis.</w:t>
            </w:r>
          </w:p>
          <w:p w14:paraId="7354BCC0" w14:textId="77777777" w:rsidR="00FB5509" w:rsidRDefault="00DA5893" w:rsidP="005B4C0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Claim count = number of claims present for episode 1 </w:t>
            </w:r>
          </w:p>
          <w:p w14:paraId="4194552D" w14:textId="512CC765" w:rsidR="007B2BD8" w:rsidRPr="005B4C03" w:rsidRDefault="007B2BD8" w:rsidP="005B4C03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Episode duration= # of months</w:t>
            </w:r>
            <w:r w:rsidR="005D2AC7">
              <w:rPr>
                <w:rFonts w:eastAsia="Times New Roman"/>
                <w:sz w:val="24"/>
                <w:szCs w:val="24"/>
              </w:rPr>
              <w:t xml:space="preserve"> during which at least 1 claim was generated</w:t>
            </w:r>
          </w:p>
        </w:tc>
      </w:tr>
      <w:tr w:rsidR="000E0723" w:rsidRPr="00943D77" w14:paraId="5AA46C27" w14:textId="77777777" w:rsidTr="00FF233F">
        <w:tc>
          <w:tcPr>
            <w:tcW w:w="3325" w:type="dxa"/>
          </w:tcPr>
          <w:p w14:paraId="443C40A5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Data sources/management</w:t>
            </w:r>
          </w:p>
        </w:tc>
        <w:tc>
          <w:tcPr>
            <w:tcW w:w="6025" w:type="dxa"/>
          </w:tcPr>
          <w:p w14:paraId="5688D6C7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  <w:highlight w:val="yellow"/>
              </w:rPr>
            </w:pPr>
            <w:r w:rsidRPr="00FF233F">
              <w:rPr>
                <w:rFonts w:eastAsia="Times New Roman"/>
                <w:sz w:val="24"/>
                <w:szCs w:val="24"/>
              </w:rPr>
              <w:t xml:space="preserve">The dataset was made available via a collaboration with a private healthcare company called Integrative Musculoskeletal Care (IMC) based in Tallahassee FL.  </w:t>
            </w:r>
          </w:p>
        </w:tc>
      </w:tr>
      <w:tr w:rsidR="000E0723" w:rsidRPr="00943D77" w14:paraId="7F79596A" w14:textId="77777777" w:rsidTr="00FF233F">
        <w:tc>
          <w:tcPr>
            <w:tcW w:w="3325" w:type="dxa"/>
          </w:tcPr>
          <w:p w14:paraId="70D60887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lastRenderedPageBreak/>
              <w:t>Bias</w:t>
            </w:r>
          </w:p>
        </w:tc>
        <w:tc>
          <w:tcPr>
            <w:tcW w:w="6025" w:type="dxa"/>
          </w:tcPr>
          <w:p w14:paraId="656D3C0E" w14:textId="18095EA4" w:rsidR="00FD3C1A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 xml:space="preserve">Misclassification of treatment group is the most likely source of bias in our analysis.  Our method of assigning an episode to the </w:t>
            </w:r>
            <w:r w:rsidR="003452E0">
              <w:rPr>
                <w:rFonts w:eastAsia="Times New Roman"/>
                <w:sz w:val="24"/>
                <w:szCs w:val="24"/>
              </w:rPr>
              <w:t>spinal manipulation</w:t>
            </w:r>
            <w:r w:rsidRPr="00FF233F">
              <w:rPr>
                <w:rFonts w:eastAsia="Times New Roman"/>
                <w:sz w:val="24"/>
                <w:szCs w:val="24"/>
              </w:rPr>
              <w:t xml:space="preserve"> group when evidence of </w:t>
            </w:r>
            <w:r w:rsidR="003452E0">
              <w:rPr>
                <w:rFonts w:eastAsia="Times New Roman"/>
                <w:sz w:val="24"/>
                <w:szCs w:val="24"/>
              </w:rPr>
              <w:t>this service</w:t>
            </w:r>
            <w:r w:rsidRPr="00FF233F">
              <w:rPr>
                <w:rFonts w:eastAsia="Times New Roman"/>
                <w:sz w:val="24"/>
                <w:szCs w:val="24"/>
              </w:rPr>
              <w:t xml:space="preserve"> was present at any time during the episode could potentially bias our results against </w:t>
            </w:r>
            <w:r w:rsidR="003452E0">
              <w:rPr>
                <w:rFonts w:eastAsia="Times New Roman"/>
                <w:sz w:val="24"/>
                <w:szCs w:val="24"/>
              </w:rPr>
              <w:t>spinal manipulation</w:t>
            </w:r>
            <w:r w:rsidRPr="00FF233F">
              <w:rPr>
                <w:rFonts w:eastAsia="Times New Roman"/>
                <w:sz w:val="24"/>
                <w:szCs w:val="24"/>
              </w:rPr>
              <w:t xml:space="preserve">; we believe this strengthens the conclusions of our models.  </w:t>
            </w:r>
          </w:p>
          <w:p w14:paraId="3A8088B4" w14:textId="616E3963" w:rsidR="00846B64" w:rsidRPr="00FF233F" w:rsidRDefault="00846B64" w:rsidP="00FF233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Propensity score matching was utilized </w:t>
            </w:r>
            <w:r w:rsidR="00DA6912">
              <w:rPr>
                <w:rFonts w:eastAsia="Times New Roman"/>
                <w:sz w:val="24"/>
                <w:szCs w:val="24"/>
              </w:rPr>
              <w:t>as a method of managing treatment selection bias</w:t>
            </w:r>
          </w:p>
          <w:p w14:paraId="796053BC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Other sources of potential bias are discussed in limitations</w:t>
            </w:r>
          </w:p>
        </w:tc>
      </w:tr>
      <w:tr w:rsidR="000E0723" w:rsidRPr="00943D77" w14:paraId="506450D8" w14:textId="77777777" w:rsidTr="00FF233F">
        <w:tc>
          <w:tcPr>
            <w:tcW w:w="3325" w:type="dxa"/>
          </w:tcPr>
          <w:p w14:paraId="6D683D1A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Study size</w:t>
            </w:r>
          </w:p>
        </w:tc>
        <w:tc>
          <w:tcPr>
            <w:tcW w:w="6025" w:type="dxa"/>
          </w:tcPr>
          <w:p w14:paraId="52FD098D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Adequate detail provided in Methods section</w:t>
            </w:r>
          </w:p>
        </w:tc>
      </w:tr>
      <w:tr w:rsidR="000E0723" w:rsidRPr="00943D77" w14:paraId="2A252955" w14:textId="77777777" w:rsidTr="00FF233F">
        <w:tc>
          <w:tcPr>
            <w:tcW w:w="3325" w:type="dxa"/>
          </w:tcPr>
          <w:p w14:paraId="337E5A84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Quantitative variables</w:t>
            </w:r>
          </w:p>
        </w:tc>
        <w:tc>
          <w:tcPr>
            <w:tcW w:w="6025" w:type="dxa"/>
          </w:tcPr>
          <w:p w14:paraId="116350F3" w14:textId="5CBBE66F" w:rsidR="000E0723" w:rsidRPr="00FF233F" w:rsidRDefault="00B237AF" w:rsidP="00FF233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Table</w:t>
            </w:r>
            <w:r w:rsidR="0067623B">
              <w:rPr>
                <w:rFonts w:eastAsia="Times New Roman"/>
                <w:sz w:val="24"/>
                <w:szCs w:val="24"/>
              </w:rPr>
              <w:t xml:space="preserve"> 1</w:t>
            </w:r>
            <w:r>
              <w:rPr>
                <w:rFonts w:eastAsia="Times New Roman"/>
                <w:sz w:val="24"/>
                <w:szCs w:val="24"/>
              </w:rPr>
              <w:t xml:space="preserve"> report</w:t>
            </w:r>
            <w:r w:rsidR="000E480C">
              <w:rPr>
                <w:rFonts w:eastAsia="Times New Roman"/>
                <w:sz w:val="24"/>
                <w:szCs w:val="24"/>
              </w:rPr>
              <w:t xml:space="preserve"> </w:t>
            </w:r>
            <w:r w:rsidR="00053235">
              <w:rPr>
                <w:rFonts w:eastAsia="Times New Roman"/>
                <w:sz w:val="24"/>
                <w:szCs w:val="24"/>
              </w:rPr>
              <w:t xml:space="preserve">counts, </w:t>
            </w:r>
            <w:r w:rsidR="000E480C">
              <w:rPr>
                <w:rFonts w:eastAsia="Times New Roman"/>
                <w:sz w:val="24"/>
                <w:szCs w:val="24"/>
              </w:rPr>
              <w:t>mean/median values</w:t>
            </w:r>
            <w:r w:rsidR="00053235">
              <w:rPr>
                <w:rFonts w:eastAsia="Times New Roman"/>
                <w:sz w:val="24"/>
                <w:szCs w:val="24"/>
              </w:rPr>
              <w:t xml:space="preserve"> and ranges</w:t>
            </w:r>
            <w:r w:rsidR="000E480C">
              <w:rPr>
                <w:rFonts w:eastAsia="Times New Roman"/>
                <w:sz w:val="24"/>
                <w:szCs w:val="24"/>
              </w:rPr>
              <w:t xml:space="preserve"> for each predictor based</w:t>
            </w:r>
            <w:r w:rsidR="008C26F1">
              <w:rPr>
                <w:rFonts w:eastAsia="Times New Roman"/>
                <w:sz w:val="24"/>
                <w:szCs w:val="24"/>
              </w:rPr>
              <w:t xml:space="preserve"> SMT dose cohort</w:t>
            </w:r>
            <w:r w:rsidR="000A5119">
              <w:rPr>
                <w:rFonts w:eastAsia="Times New Roman"/>
                <w:sz w:val="24"/>
                <w:szCs w:val="24"/>
              </w:rPr>
              <w:t>.</w:t>
            </w:r>
            <w:r w:rsidR="000E0723" w:rsidRPr="00FF233F">
              <w:rPr>
                <w:rFonts w:eastAsia="Times New Roman"/>
                <w:sz w:val="24"/>
                <w:szCs w:val="24"/>
              </w:rPr>
              <w:t xml:space="preserve">  </w:t>
            </w:r>
          </w:p>
        </w:tc>
      </w:tr>
      <w:tr w:rsidR="000E0723" w:rsidRPr="00943D77" w14:paraId="34226C8F" w14:textId="77777777" w:rsidTr="00FF233F">
        <w:tc>
          <w:tcPr>
            <w:tcW w:w="3325" w:type="dxa"/>
          </w:tcPr>
          <w:p w14:paraId="6EAF7E6A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Statistical methods</w:t>
            </w:r>
          </w:p>
        </w:tc>
        <w:tc>
          <w:tcPr>
            <w:tcW w:w="6025" w:type="dxa"/>
          </w:tcPr>
          <w:p w14:paraId="5D918EDC" w14:textId="3F75DD59" w:rsidR="000E0723" w:rsidRPr="00FF233F" w:rsidRDefault="002F3475" w:rsidP="00FF233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Table 2 reports results of the </w:t>
            </w:r>
            <w:r w:rsidR="000E0723" w:rsidRPr="00FF233F">
              <w:rPr>
                <w:rFonts w:eastAsia="Times New Roman"/>
                <w:sz w:val="24"/>
                <w:szCs w:val="24"/>
              </w:rPr>
              <w:t>modified Poisson regression model</w:t>
            </w:r>
            <w:r>
              <w:rPr>
                <w:rFonts w:eastAsia="Times New Roman"/>
                <w:sz w:val="24"/>
                <w:szCs w:val="24"/>
              </w:rPr>
              <w:t>s</w:t>
            </w:r>
            <w:r w:rsidR="000E0723" w:rsidRPr="00FF233F">
              <w:rPr>
                <w:rFonts w:eastAsia="Times New Roman"/>
                <w:sz w:val="24"/>
                <w:szCs w:val="24"/>
              </w:rPr>
              <w:t xml:space="preserve"> fit through generalized estimating equations </w:t>
            </w:r>
            <w:r w:rsidR="000E0723">
              <w:rPr>
                <w:rFonts w:eastAsia="Times New Roman"/>
                <w:sz w:val="24"/>
                <w:szCs w:val="24"/>
              </w:rPr>
              <w:t xml:space="preserve">with unstructured covariance matrix </w:t>
            </w:r>
            <w:r w:rsidR="000E0723" w:rsidRPr="00FF233F">
              <w:rPr>
                <w:rFonts w:eastAsia="Times New Roman"/>
                <w:sz w:val="24"/>
                <w:szCs w:val="24"/>
              </w:rPr>
              <w:t>was employed for categorical outcome variable</w:t>
            </w:r>
            <w:r w:rsidR="00245F67">
              <w:rPr>
                <w:rFonts w:eastAsia="Times New Roman"/>
                <w:sz w:val="24"/>
                <w:szCs w:val="24"/>
              </w:rPr>
              <w:t>s</w:t>
            </w:r>
            <w:r w:rsidR="000E0723" w:rsidRPr="00FF233F">
              <w:rPr>
                <w:rFonts w:eastAsia="Times New Roman"/>
                <w:sz w:val="24"/>
                <w:szCs w:val="24"/>
              </w:rPr>
              <w:t xml:space="preserve"> as described by Zou </w:t>
            </w:r>
            <w:r w:rsidR="000E0723" w:rsidRPr="00FF233F">
              <w:rPr>
                <w:rFonts w:eastAsia="Times New Roman"/>
                <w:sz w:val="24"/>
                <w:szCs w:val="24"/>
                <w:vertAlign w:val="superscript"/>
              </w:rPr>
              <w:t>2-3</w:t>
            </w:r>
            <w:r w:rsidR="000E0723" w:rsidRPr="00FF233F">
              <w:rPr>
                <w:rFonts w:eastAsia="Times New Roman"/>
                <w:sz w:val="24"/>
                <w:szCs w:val="24"/>
              </w:rPr>
              <w:t xml:space="preserve"> to calculate relative risk of escalat</w:t>
            </w:r>
            <w:r w:rsidR="00E71D07">
              <w:rPr>
                <w:rFonts w:eastAsia="Times New Roman"/>
                <w:sz w:val="24"/>
                <w:szCs w:val="24"/>
              </w:rPr>
              <w:t>ed spine care in each SMT dose group</w:t>
            </w:r>
            <w:r w:rsidR="000E0723" w:rsidRPr="00FF233F">
              <w:rPr>
                <w:rFonts w:eastAsia="Times New Roman"/>
                <w:sz w:val="24"/>
                <w:szCs w:val="24"/>
              </w:rPr>
              <w:t xml:space="preserve"> </w:t>
            </w:r>
            <w:r w:rsidR="00E71D07">
              <w:rPr>
                <w:rFonts w:eastAsia="Times New Roman"/>
                <w:sz w:val="24"/>
                <w:szCs w:val="24"/>
              </w:rPr>
              <w:t>(vs no SMT)</w:t>
            </w:r>
            <w:r w:rsidR="000E0723" w:rsidRPr="00FF233F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0E0723" w:rsidRPr="00943D77" w14:paraId="38B6A763" w14:textId="77777777" w:rsidTr="00FF233F">
        <w:tc>
          <w:tcPr>
            <w:tcW w:w="3325" w:type="dxa"/>
          </w:tcPr>
          <w:p w14:paraId="27AB6D3D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>Data access and cleaning methods</w:t>
            </w:r>
          </w:p>
        </w:tc>
        <w:tc>
          <w:tcPr>
            <w:tcW w:w="6025" w:type="dxa"/>
          </w:tcPr>
          <w:p w14:paraId="768A74FB" w14:textId="57C948CD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sz w:val="24"/>
                <w:szCs w:val="24"/>
              </w:rPr>
              <w:t>The cleaned dataset population is the study sample. Diagnosis codes (ICD-9, ICD-10) and Procedure code lists reduce the associated claims to those that are in-scope for IMC services provided to their clients (Dislocations, fractures, infections and inflammatory arthropathies are excluded). SM had full access to the deidentified dataset population; BA had access to a slightly more deidentified version of this dataset</w:t>
            </w:r>
            <w:r w:rsidR="004908F5">
              <w:rPr>
                <w:sz w:val="24"/>
                <w:szCs w:val="24"/>
              </w:rPr>
              <w:t>; JW</w:t>
            </w:r>
            <w:r w:rsidR="007923DB">
              <w:rPr>
                <w:sz w:val="24"/>
                <w:szCs w:val="24"/>
              </w:rPr>
              <w:t xml:space="preserve"> and PH</w:t>
            </w:r>
            <w:r w:rsidR="004908F5">
              <w:rPr>
                <w:sz w:val="24"/>
                <w:szCs w:val="24"/>
              </w:rPr>
              <w:t xml:space="preserve"> had no access to the dataset</w:t>
            </w:r>
            <w:r w:rsidRPr="00FF233F">
              <w:rPr>
                <w:sz w:val="24"/>
                <w:szCs w:val="24"/>
              </w:rPr>
              <w:t xml:space="preserve"> </w:t>
            </w:r>
          </w:p>
        </w:tc>
      </w:tr>
      <w:tr w:rsidR="000E0723" w:rsidRPr="00943D77" w14:paraId="48FCA42C" w14:textId="77777777" w:rsidTr="00FF233F">
        <w:tc>
          <w:tcPr>
            <w:tcW w:w="3325" w:type="dxa"/>
          </w:tcPr>
          <w:p w14:paraId="52405183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rFonts w:eastAsia="Times New Roman"/>
                <w:sz w:val="24"/>
                <w:szCs w:val="24"/>
              </w:rPr>
              <w:t xml:space="preserve">Linkage </w:t>
            </w:r>
          </w:p>
        </w:tc>
        <w:tc>
          <w:tcPr>
            <w:tcW w:w="6025" w:type="dxa"/>
          </w:tcPr>
          <w:p w14:paraId="0883F28C" w14:textId="77777777" w:rsidR="000E0723" w:rsidRPr="00FF233F" w:rsidRDefault="000E0723" w:rsidP="00FF233F">
            <w:pPr>
              <w:rPr>
                <w:rFonts w:eastAsia="Times New Roman"/>
                <w:sz w:val="24"/>
                <w:szCs w:val="24"/>
              </w:rPr>
            </w:pPr>
            <w:r w:rsidRPr="00FF233F">
              <w:rPr>
                <w:sz w:val="24"/>
                <w:szCs w:val="24"/>
              </w:rPr>
              <w:t xml:space="preserve">The data is person level linked by an encrypted unique member identifier. The quality of the linkage is co-verified by independent parties at both IMC and the SIE. Social security number, date of birth and gender are used to generate the encrypted IDs. </w:t>
            </w:r>
          </w:p>
        </w:tc>
      </w:tr>
    </w:tbl>
    <w:p w14:paraId="1F33187C" w14:textId="77777777" w:rsidR="000E0723" w:rsidRPr="00FF233F" w:rsidRDefault="000E0723" w:rsidP="000E0723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FF233F">
        <w:rPr>
          <w:rFonts w:eastAsia="Times New Roman"/>
          <w:sz w:val="24"/>
          <w:szCs w:val="24"/>
        </w:rPr>
        <w:t xml:space="preserve">Benchimol El et al.  The Reporting of studies Conducted using Observational Routinely-collected health Data (RECORD) Statement.  </w:t>
      </w:r>
      <w:proofErr w:type="spellStart"/>
      <w:r w:rsidRPr="00FF233F">
        <w:rPr>
          <w:rFonts w:eastAsia="Times New Roman"/>
          <w:sz w:val="24"/>
          <w:szCs w:val="24"/>
        </w:rPr>
        <w:t>PLoS</w:t>
      </w:r>
      <w:proofErr w:type="spellEnd"/>
      <w:r w:rsidRPr="00FF233F">
        <w:rPr>
          <w:rFonts w:eastAsia="Times New Roman"/>
          <w:sz w:val="24"/>
          <w:szCs w:val="24"/>
        </w:rPr>
        <w:t xml:space="preserve"> Med 2015, 12(10)</w:t>
      </w:r>
    </w:p>
    <w:p w14:paraId="063F0120" w14:textId="77777777" w:rsidR="000E0723" w:rsidRPr="00FF233F" w:rsidRDefault="000E0723" w:rsidP="000E0723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FF233F">
        <w:rPr>
          <w:rFonts w:eastAsia="Times New Roman"/>
          <w:sz w:val="24"/>
          <w:szCs w:val="24"/>
        </w:rPr>
        <w:t>Zou, G.  A Modified Poisson Regression Approach to Prospective Studies with Binary Data.  American Journal of Epidemiology 2004, 159:7</w:t>
      </w:r>
    </w:p>
    <w:p w14:paraId="7B210261" w14:textId="578DAC48" w:rsidR="00290BDA" w:rsidRPr="000E0723" w:rsidRDefault="000E0723" w:rsidP="000E0723">
      <w:pPr>
        <w:pStyle w:val="ListParagraph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FF233F">
        <w:rPr>
          <w:rFonts w:eastAsia="Times New Roman"/>
          <w:sz w:val="24"/>
          <w:szCs w:val="24"/>
        </w:rPr>
        <w:t>Zou, G &amp; Donner, A.  Extension of the modified Poisson regression model to prospective studies with correlated binary data.  Stat Methods Med Res 2011, 22:661</w:t>
      </w:r>
    </w:p>
    <w:sectPr w:rsidR="001A6689" w:rsidRPr="000E0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A7B92" w14:textId="77777777" w:rsidR="00625304" w:rsidRDefault="00625304" w:rsidP="000E0723">
      <w:pPr>
        <w:spacing w:after="0" w:line="240" w:lineRule="auto"/>
      </w:pPr>
      <w:r>
        <w:separator/>
      </w:r>
    </w:p>
  </w:endnote>
  <w:endnote w:type="continuationSeparator" w:id="0">
    <w:p w14:paraId="245B512F" w14:textId="77777777" w:rsidR="00625304" w:rsidRDefault="00625304" w:rsidP="000E0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2128" w14:textId="77777777" w:rsidR="00625304" w:rsidRDefault="00625304" w:rsidP="000E0723">
      <w:pPr>
        <w:spacing w:after="0" w:line="240" w:lineRule="auto"/>
      </w:pPr>
      <w:r>
        <w:separator/>
      </w:r>
    </w:p>
  </w:footnote>
  <w:footnote w:type="continuationSeparator" w:id="0">
    <w:p w14:paraId="7399F4B4" w14:textId="77777777" w:rsidR="00625304" w:rsidRDefault="00625304" w:rsidP="000E0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63E73"/>
    <w:multiLevelType w:val="hybridMultilevel"/>
    <w:tmpl w:val="C0CCCF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F92343"/>
    <w:multiLevelType w:val="hybridMultilevel"/>
    <w:tmpl w:val="CF1E63A6"/>
    <w:lvl w:ilvl="0" w:tplc="ED346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961244">
    <w:abstractNumId w:val="0"/>
  </w:num>
  <w:num w:numId="2" w16cid:durableId="1383403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723"/>
    <w:rsid w:val="00053235"/>
    <w:rsid w:val="000A5119"/>
    <w:rsid w:val="000B3604"/>
    <w:rsid w:val="000E0723"/>
    <w:rsid w:val="000E480C"/>
    <w:rsid w:val="001921E4"/>
    <w:rsid w:val="001A4FFB"/>
    <w:rsid w:val="00240BAD"/>
    <w:rsid w:val="00245F67"/>
    <w:rsid w:val="00290BDA"/>
    <w:rsid w:val="002D40E0"/>
    <w:rsid w:val="002F3475"/>
    <w:rsid w:val="0033359F"/>
    <w:rsid w:val="003452E0"/>
    <w:rsid w:val="00361D83"/>
    <w:rsid w:val="00372773"/>
    <w:rsid w:val="003A1B14"/>
    <w:rsid w:val="003F451F"/>
    <w:rsid w:val="00420738"/>
    <w:rsid w:val="004908F5"/>
    <w:rsid w:val="00490FC8"/>
    <w:rsid w:val="00494F8F"/>
    <w:rsid w:val="005B3744"/>
    <w:rsid w:val="005B4C03"/>
    <w:rsid w:val="005D2AC7"/>
    <w:rsid w:val="005E03A1"/>
    <w:rsid w:val="00624E67"/>
    <w:rsid w:val="00625304"/>
    <w:rsid w:val="00630F31"/>
    <w:rsid w:val="00636260"/>
    <w:rsid w:val="0067623B"/>
    <w:rsid w:val="006A1961"/>
    <w:rsid w:val="006C16E9"/>
    <w:rsid w:val="00723DED"/>
    <w:rsid w:val="00727E86"/>
    <w:rsid w:val="00732C50"/>
    <w:rsid w:val="007923DB"/>
    <w:rsid w:val="007B2BD8"/>
    <w:rsid w:val="007C619D"/>
    <w:rsid w:val="00846B64"/>
    <w:rsid w:val="00853716"/>
    <w:rsid w:val="00872201"/>
    <w:rsid w:val="008B77CB"/>
    <w:rsid w:val="008C26F1"/>
    <w:rsid w:val="008F5C59"/>
    <w:rsid w:val="00900129"/>
    <w:rsid w:val="00995AAE"/>
    <w:rsid w:val="00A75FA0"/>
    <w:rsid w:val="00A908C2"/>
    <w:rsid w:val="00AD7DD5"/>
    <w:rsid w:val="00B237AF"/>
    <w:rsid w:val="00B619E7"/>
    <w:rsid w:val="00B8502A"/>
    <w:rsid w:val="00BB543E"/>
    <w:rsid w:val="00BC4430"/>
    <w:rsid w:val="00BD3F59"/>
    <w:rsid w:val="00C02DE9"/>
    <w:rsid w:val="00C602F8"/>
    <w:rsid w:val="00C92899"/>
    <w:rsid w:val="00CE24EF"/>
    <w:rsid w:val="00CF5F54"/>
    <w:rsid w:val="00D60E63"/>
    <w:rsid w:val="00DA5893"/>
    <w:rsid w:val="00DA6912"/>
    <w:rsid w:val="00DF37B6"/>
    <w:rsid w:val="00E52951"/>
    <w:rsid w:val="00E71D07"/>
    <w:rsid w:val="00E80C4D"/>
    <w:rsid w:val="00EC79CF"/>
    <w:rsid w:val="00EF59DA"/>
    <w:rsid w:val="00F30E6E"/>
    <w:rsid w:val="00F828B2"/>
    <w:rsid w:val="00FB5509"/>
    <w:rsid w:val="00F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4106D"/>
  <w15:chartTrackingRefBased/>
  <w15:docId w15:val="{AEA1AD2A-8565-476C-9CA7-5E22AF2C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723"/>
    <w:pPr>
      <w:ind w:left="720"/>
      <w:contextualSpacing/>
    </w:pPr>
  </w:style>
  <w:style w:type="table" w:styleId="TableGrid">
    <w:name w:val="Table Grid"/>
    <w:basedOn w:val="TableNormal"/>
    <w:uiPriority w:val="39"/>
    <w:rsid w:val="000E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1b2a5ad-924c-4e36-9fb4-c750d39158c4}" enabled="0" method="" siteId="{b1b2a5ad-924c-4e36-9fb4-c750d39158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Anderson</dc:creator>
  <cp:keywords/>
  <dc:description/>
  <cp:lastModifiedBy>Brian Anderson</cp:lastModifiedBy>
  <cp:revision>2</cp:revision>
  <dcterms:created xsi:type="dcterms:W3CDTF">2023-12-28T18:36:00Z</dcterms:created>
  <dcterms:modified xsi:type="dcterms:W3CDTF">2023-12-28T18:36:00Z</dcterms:modified>
</cp:coreProperties>
</file>